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99DA0" w14:textId="77777777" w:rsidR="002C035D" w:rsidRDefault="002C035D" w:rsidP="002C035D">
      <w:pPr>
        <w:pStyle w:val="Heading1"/>
        <w:spacing w:before="60"/>
        <w:rPr>
          <w:sz w:val="40"/>
        </w:rPr>
      </w:pPr>
      <w:bookmarkStart w:id="0" w:name="_GoBack"/>
      <w:bookmarkEnd w:id="0"/>
      <w:r w:rsidRPr="00263E82">
        <w:rPr>
          <w:sz w:val="40"/>
        </w:rPr>
        <w:t xml:space="preserve">COVID-19 </w:t>
      </w:r>
      <w:r w:rsidR="00F51F23">
        <w:rPr>
          <w:sz w:val="40"/>
        </w:rPr>
        <w:t>Temporary</w:t>
      </w:r>
      <w:r w:rsidRPr="00263E82">
        <w:rPr>
          <w:sz w:val="40"/>
        </w:rPr>
        <w:t xml:space="preserve"> MBS </w:t>
      </w:r>
      <w:r>
        <w:rPr>
          <w:sz w:val="40"/>
        </w:rPr>
        <w:t xml:space="preserve">Allied Health (Psychology) </w:t>
      </w:r>
      <w:r w:rsidRPr="00263E82">
        <w:rPr>
          <w:sz w:val="40"/>
        </w:rPr>
        <w:t>Telehealth Services</w:t>
      </w:r>
      <w:r>
        <w:rPr>
          <w:sz w:val="40"/>
        </w:rPr>
        <w:t xml:space="preserve"> Frequently Asked Questions</w:t>
      </w:r>
    </w:p>
    <w:p w14:paraId="3350AECF" w14:textId="77777777" w:rsidR="00907B4A" w:rsidRPr="00BA1B9D" w:rsidRDefault="00907B4A" w:rsidP="006F117C">
      <w:r w:rsidRPr="00BA1B9D">
        <w:t>Last updated:</w:t>
      </w:r>
      <w:r w:rsidR="00AC021C">
        <w:t xml:space="preserve"> </w:t>
      </w:r>
      <w:r w:rsidR="00234CDA">
        <w:t>20</w:t>
      </w:r>
      <w:r w:rsidR="008B7FB7">
        <w:t xml:space="preserve"> </w:t>
      </w:r>
      <w:r w:rsidR="00774A19">
        <w:t>April</w:t>
      </w:r>
      <w:r w:rsidR="008B7FB7">
        <w:t xml:space="preserve"> 2020</w:t>
      </w:r>
    </w:p>
    <w:p w14:paraId="394F1111" w14:textId="77777777" w:rsidR="00474EE8" w:rsidRDefault="00474EE8" w:rsidP="00474EE8">
      <w:pPr>
        <w:pStyle w:val="ListParagraph"/>
      </w:pPr>
      <w:bookmarkStart w:id="1" w:name="_Hlk535506978"/>
      <w:r>
        <w:t xml:space="preserve">From </w:t>
      </w:r>
      <w:r w:rsidRPr="00A32CF1">
        <w:t>13</w:t>
      </w:r>
      <w:r>
        <w:t xml:space="preserve"> March 2020 to 30 September 2020 (inclusive), new temporary MBS telehealth items have been</w:t>
      </w:r>
      <w:r>
        <w:rPr>
          <w:rFonts w:asciiTheme="minorHAnsi" w:hAnsiTheme="minorHAnsi" w:cstheme="minorHAnsi"/>
        </w:rPr>
        <w:t xml:space="preserve"> made available</w:t>
      </w:r>
      <w:r>
        <w:t xml:space="preserve"> to</w:t>
      </w:r>
      <w:r w:rsidRPr="00C6108C">
        <w:t xml:space="preserve"> help reduce</w:t>
      </w:r>
      <w:r w:rsidRPr="00A32CF1">
        <w:t xml:space="preserve"> the </w:t>
      </w:r>
      <w:r>
        <w:t xml:space="preserve">risk of </w:t>
      </w:r>
      <w:r w:rsidRPr="00A32CF1">
        <w:t xml:space="preserve">community </w:t>
      </w:r>
      <w:r w:rsidRPr="00C6108C">
        <w:t>transmission of</w:t>
      </w:r>
      <w:r w:rsidRPr="00A32CF1">
        <w:t xml:space="preserve"> COVID-19 and </w:t>
      </w:r>
      <w:r w:rsidRPr="00C6108C">
        <w:t xml:space="preserve">provide protection for </w:t>
      </w:r>
      <w:r>
        <w:t>patients and health care</w:t>
      </w:r>
      <w:r w:rsidRPr="00A32CF1">
        <w:t xml:space="preserve"> providers</w:t>
      </w:r>
      <w:r>
        <w:t>.</w:t>
      </w:r>
      <w:r w:rsidRPr="00C6108C">
        <w:t xml:space="preserve"> </w:t>
      </w:r>
    </w:p>
    <w:p w14:paraId="294E9929" w14:textId="77777777" w:rsidR="000A00B9" w:rsidRDefault="000A00B9" w:rsidP="000A00B9">
      <w:pPr>
        <w:pStyle w:val="ListParagraph"/>
      </w:pPr>
      <w:r w:rsidRPr="001600CB">
        <w:t>A service may only be provided by telehealth where it is safe and clinically appropriate to do so.</w:t>
      </w:r>
    </w:p>
    <w:p w14:paraId="47568785" w14:textId="77777777" w:rsidR="00D1312D" w:rsidRDefault="00D1312D" w:rsidP="00D1312D">
      <w:pPr>
        <w:pStyle w:val="ListParagraph"/>
      </w:pPr>
      <w:r>
        <w:t xml:space="preserve">The </w:t>
      </w:r>
      <w:r w:rsidR="003376C6">
        <w:t xml:space="preserve">telehealth </w:t>
      </w:r>
      <w:r>
        <w:t xml:space="preserve">services </w:t>
      </w:r>
      <w:bookmarkEnd w:id="1"/>
      <w:r w:rsidR="001F1742">
        <w:t>are for non-admitted patients.</w:t>
      </w:r>
    </w:p>
    <w:p w14:paraId="5D99DA0C" w14:textId="77777777" w:rsidR="00234CDA" w:rsidRPr="00234CDA" w:rsidRDefault="00234CDA" w:rsidP="00234CDA">
      <w:pPr>
        <w:pStyle w:val="ListParagraph"/>
      </w:pPr>
      <w:r w:rsidRPr="00234CDA">
        <w:t>As of 20 April 2020, specialist and allied health service providers are no longer required to bulk bill</w:t>
      </w:r>
      <w:r w:rsidR="00E60C52">
        <w:t xml:space="preserve"> these new</w:t>
      </w:r>
      <w:r w:rsidRPr="00234CDA">
        <w:t xml:space="preserve"> telehealth items. </w:t>
      </w:r>
    </w:p>
    <w:p w14:paraId="724EEB4D" w14:textId="77777777" w:rsidR="00F51F23" w:rsidRDefault="00F20993" w:rsidP="00F20993">
      <w:pPr>
        <w:pStyle w:val="ListParagraph"/>
      </w:pPr>
      <w:r w:rsidRPr="00F20993">
        <w:t>Providers are expected to obtain informed financial consent from patients prior to providing the service; providing details regarding their fees, including any out-of-pocket costs.</w:t>
      </w:r>
    </w:p>
    <w:p w14:paraId="58A5ED38" w14:textId="77777777" w:rsidR="001F1742" w:rsidRPr="00BB4F1C" w:rsidRDefault="001F1742" w:rsidP="001F1742">
      <w:pPr>
        <w:numPr>
          <w:ilvl w:val="0"/>
          <w:numId w:val="1"/>
        </w:numPr>
        <w:spacing w:after="60"/>
      </w:pPr>
      <w:r>
        <w:t xml:space="preserve">Please refer to the ‘Provider Frequently Asked Questions’ on </w:t>
      </w:r>
      <w:hyperlink r:id="rId10" w:history="1">
        <w:r w:rsidRPr="00F41C3B">
          <w:rPr>
            <w:rStyle w:val="Hyperlink"/>
          </w:rPr>
          <w:t>MBS Online</w:t>
        </w:r>
      </w:hyperlink>
      <w:r>
        <w:t xml:space="preserve"> for general information on eligibility, telehealth arrangements, referrals, bulk-billing and claiming, and assignment of benefits.</w:t>
      </w:r>
    </w:p>
    <w:p w14:paraId="708A6E1C" w14:textId="77777777" w:rsidR="00083216" w:rsidRPr="001F1742" w:rsidRDefault="001F1742" w:rsidP="001F1742">
      <w:pPr>
        <w:pStyle w:val="ListParagraph"/>
      </w:pPr>
      <w:r>
        <w:t xml:space="preserve">Please note that this information is accurate as of this date. This is an evolving situation and it is possible that some of this information could change in response to the circumstances. </w:t>
      </w:r>
      <w:r w:rsidRPr="000E684E">
        <w:t xml:space="preserve">Please </w:t>
      </w:r>
      <w:r>
        <w:t xml:space="preserve">continue to </w:t>
      </w:r>
      <w:r w:rsidRPr="000E684E">
        <w:t>check MBS Online (</w:t>
      </w:r>
      <w:hyperlink r:id="rId11" w:history="1">
        <w:r w:rsidRPr="000E684E">
          <w:rPr>
            <w:rStyle w:val="Hyperlink"/>
            <w:color w:val="auto"/>
          </w:rPr>
          <w:t>www.mbsonline.gov.au</w:t>
        </w:r>
      </w:hyperlink>
      <w:r w:rsidRPr="000E684E">
        <w:t>) regularly for any further announcements.</w:t>
      </w:r>
    </w:p>
    <w:p w14:paraId="09AF102D" w14:textId="77777777" w:rsidR="00CA184A" w:rsidRDefault="00EE1791" w:rsidP="00B23662">
      <w:r>
        <w:rPr>
          <w:rStyle w:val="BookTitle"/>
          <w:noProof/>
        </w:rPr>
        <w:pict w14:anchorId="646BCD00">
          <v:rect id="_x0000_i1026" alt="" style="width:523.3pt;height:.05pt;mso-width-percent:0;mso-height-percent:0;mso-width-percent:0;mso-height-percent:0" o:hralign="center" o:hrstd="t" o:hr="t" fillcolor="#a0a0a0" stroked="f"/>
        </w:pict>
      </w:r>
    </w:p>
    <w:p w14:paraId="1C0C4652" w14:textId="77777777" w:rsidR="008F5344" w:rsidRDefault="008F5344" w:rsidP="008F5344">
      <w:pPr>
        <w:pStyle w:val="Heading3"/>
      </w:pPr>
      <w:r>
        <w:t>Why are these changes being made?</w:t>
      </w:r>
    </w:p>
    <w:p w14:paraId="1DF28591" w14:textId="77777777" w:rsidR="008F5344" w:rsidRDefault="008F5344" w:rsidP="008F5344">
      <w:pPr>
        <w:pStyle w:val="ListParagraph"/>
      </w:pPr>
      <w:r>
        <w:t xml:space="preserve">The new temporary MBS telehealth items will allow people to access essential Medicare funded health services </w:t>
      </w:r>
      <w:r w:rsidR="006B38C2">
        <w:t>remotely</w:t>
      </w:r>
      <w:r>
        <w:t xml:space="preserve"> and reduce their risk </w:t>
      </w:r>
      <w:r w:rsidRPr="000608B5">
        <w:t>of exposure</w:t>
      </w:r>
      <w:r>
        <w:t xml:space="preserve"> to COVID-19.</w:t>
      </w:r>
    </w:p>
    <w:p w14:paraId="7BFAD3FA" w14:textId="77777777" w:rsidR="00E530FF" w:rsidRPr="00E530FF" w:rsidRDefault="00E530FF" w:rsidP="00E530FF">
      <w:pPr>
        <w:pStyle w:val="ListParagraph"/>
        <w:rPr>
          <w:rFonts w:eastAsiaTheme="minorHAnsi"/>
        </w:rPr>
      </w:pPr>
      <w:r w:rsidRPr="00521948">
        <w:rPr>
          <w:rFonts w:eastAsiaTheme="minorHAnsi"/>
        </w:rPr>
        <w:t>Videoconference services are the preferred approach for substituting a face-to-face consultation. However, in response to the COVID-19 pandemic, providers will also be able to offer audio-only services via telephone if video is not available. There are separate items available for the audio-only services.</w:t>
      </w:r>
    </w:p>
    <w:p w14:paraId="60A328E3" w14:textId="77777777" w:rsidR="00D828DF" w:rsidRPr="00B83E91" w:rsidRDefault="00D828DF" w:rsidP="00D828DF">
      <w:pPr>
        <w:pStyle w:val="Heading3"/>
        <w:rPr>
          <w:szCs w:val="20"/>
        </w:rPr>
      </w:pPr>
      <w:r>
        <w:rPr>
          <w:rFonts w:eastAsia="Times New Roman"/>
        </w:rPr>
        <w:t>Can I use the new temporary MBS telehealth items in place of existing MBS items?</w:t>
      </w:r>
    </w:p>
    <w:p w14:paraId="6E646B19" w14:textId="77777777" w:rsidR="00D828DF" w:rsidRPr="0038518A" w:rsidRDefault="00D828DF" w:rsidP="00D828DF">
      <w:pPr>
        <w:pStyle w:val="ListParagraph"/>
        <w:ind w:left="426" w:hanging="426"/>
        <w:rPr>
          <w:szCs w:val="20"/>
        </w:rPr>
      </w:pPr>
      <w:r w:rsidRPr="0038518A">
        <w:rPr>
          <w:szCs w:val="20"/>
        </w:rPr>
        <w:t>Yes.</w:t>
      </w:r>
      <w:r>
        <w:rPr>
          <w:szCs w:val="20"/>
        </w:rPr>
        <w:t xml:space="preserve"> </w:t>
      </w:r>
      <w:r w:rsidRPr="00535203">
        <w:t xml:space="preserve">The </w:t>
      </w:r>
      <w:r>
        <w:t>new temporary telehealth MBS items</w:t>
      </w:r>
      <w:r w:rsidRPr="00535203">
        <w:t xml:space="preserve"> </w:t>
      </w:r>
      <w:r>
        <w:t>mirror</w:t>
      </w:r>
      <w:r w:rsidRPr="00535203">
        <w:t xml:space="preserve"> existing</w:t>
      </w:r>
      <w:r>
        <w:t xml:space="preserve"> face-to-face attendance</w:t>
      </w:r>
      <w:r w:rsidRPr="00535203">
        <w:t xml:space="preserve"> </w:t>
      </w:r>
      <w:r>
        <w:t>items available under the MBS</w:t>
      </w:r>
      <w:r w:rsidRPr="00535203">
        <w:t>.</w:t>
      </w:r>
    </w:p>
    <w:p w14:paraId="1D6D87BC" w14:textId="77777777" w:rsidR="00D828DF" w:rsidRPr="00CC788B" w:rsidRDefault="00D828DF" w:rsidP="00D828DF">
      <w:pPr>
        <w:pStyle w:val="ListParagraph"/>
        <w:ind w:left="426" w:hanging="426"/>
        <w:rPr>
          <w:rFonts w:eastAsiaTheme="minorHAnsi"/>
        </w:rPr>
      </w:pPr>
      <w:r>
        <w:t>Providers should claim the new MBS item which best describes the service that they have rendered. If the requirements of the item have been met, practitioners are able to bill the new MBS items.</w:t>
      </w:r>
    </w:p>
    <w:p w14:paraId="0DFCEF46" w14:textId="77777777" w:rsidR="00D828DF" w:rsidRDefault="00D828DF" w:rsidP="00D828DF">
      <w:pPr>
        <w:pStyle w:val="ListParagraph"/>
        <w:ind w:left="426" w:hanging="426"/>
      </w:pPr>
      <w:r w:rsidRPr="00492465">
        <w:t>Providers should use their clinical judgement to determine if a service is clinically relevant. A clinically relevant service is one</w:t>
      </w:r>
      <w:r>
        <w:t xml:space="preserve"> that</w:t>
      </w:r>
      <w:r w:rsidRPr="00492465">
        <w:t xml:space="preserve"> is generally accepted by the relevant profession as necessary for the appropriate treatment of the patient.</w:t>
      </w:r>
    </w:p>
    <w:p w14:paraId="3B73F7D8" w14:textId="77777777" w:rsidR="00C24DE1" w:rsidRPr="00360408" w:rsidRDefault="00C24DE1" w:rsidP="008F5344">
      <w:pPr>
        <w:pStyle w:val="Heading3"/>
      </w:pPr>
      <w:r>
        <w:lastRenderedPageBreak/>
        <w:t xml:space="preserve">Which </w:t>
      </w:r>
      <w:r w:rsidR="00AF5BED">
        <w:t>new temporary MBS telehealth items</w:t>
      </w:r>
      <w:r w:rsidR="00E530FF">
        <w:t xml:space="preserve"> can psychol</w:t>
      </w:r>
      <w:r w:rsidR="00D516D7">
        <w:t>o</w:t>
      </w:r>
      <w:r>
        <w:t>g</w:t>
      </w:r>
      <w:r w:rsidR="00D516D7">
        <w:t>is</w:t>
      </w:r>
      <w:r>
        <w:t xml:space="preserve">ts access? </w:t>
      </w:r>
    </w:p>
    <w:p w14:paraId="6AF7E1C6" w14:textId="77777777" w:rsidR="00F51F23" w:rsidRDefault="00C24DE1" w:rsidP="0081272B">
      <w:r>
        <w:t xml:space="preserve">Psyhologists can access items provided </w:t>
      </w:r>
      <w:r w:rsidR="003376C6">
        <w:t xml:space="preserve">for </w:t>
      </w:r>
      <w:r>
        <w:t>both for Allied Health attendances and Mental Health attendances</w:t>
      </w:r>
      <w:r w:rsidR="003376C6">
        <w:t xml:space="preserve"> dependant on patient</w:t>
      </w:r>
      <w:r>
        <w:t xml:space="preserve">. Factsheets available for both suites of items at </w:t>
      </w:r>
      <w:hyperlink r:id="rId12" w:history="1">
        <w:r>
          <w:rPr>
            <w:rStyle w:val="Hyperlink"/>
          </w:rPr>
          <w:t>MBS Online</w:t>
        </w:r>
      </w:hyperlink>
      <w:r>
        <w:t>.</w:t>
      </w:r>
      <w:r w:rsidR="00D516D7">
        <w:t xml:space="preserve"> Please see tables below for all relevant items.</w:t>
      </w:r>
    </w:p>
    <w:tbl>
      <w:tblPr>
        <w:tblStyle w:val="TableGrid"/>
        <w:tblW w:w="4888" w:type="pct"/>
        <w:jc w:val="center"/>
        <w:tblLook w:val="04A0" w:firstRow="1" w:lastRow="0" w:firstColumn="1" w:lastColumn="0" w:noHBand="0" w:noVBand="1"/>
      </w:tblPr>
      <w:tblGrid>
        <w:gridCol w:w="4759"/>
        <w:gridCol w:w="1687"/>
        <w:gridCol w:w="1822"/>
        <w:gridCol w:w="1954"/>
      </w:tblGrid>
      <w:tr w:rsidR="00F31549" w:rsidRPr="00C41925" w14:paraId="5D7664B2" w14:textId="77777777" w:rsidTr="00E60C52">
        <w:trPr>
          <w:trHeight w:val="565"/>
          <w:jc w:val="center"/>
        </w:trPr>
        <w:tc>
          <w:tcPr>
            <w:tcW w:w="5000" w:type="pct"/>
            <w:gridSpan w:val="4"/>
          </w:tcPr>
          <w:p w14:paraId="429D4DA2" w14:textId="77777777" w:rsidR="00F31549" w:rsidRPr="00C41925" w:rsidRDefault="00F31549" w:rsidP="00E11DD6">
            <w:pPr>
              <w:spacing w:line="276" w:lineRule="auto"/>
              <w:outlineLvl w:val="1"/>
              <w:rPr>
                <w:rFonts w:asciiTheme="minorHAnsi" w:hAnsiTheme="minorHAnsi" w:cstheme="minorHAnsi"/>
                <w:b/>
                <w:color w:val="001A70"/>
                <w:sz w:val="21"/>
              </w:rPr>
            </w:pPr>
            <w:r w:rsidRPr="00C41925">
              <w:rPr>
                <w:rFonts w:asciiTheme="minorHAnsi" w:hAnsiTheme="minorHAnsi" w:cstheme="minorHAnsi"/>
                <w:b/>
                <w:color w:val="001A70"/>
                <w:sz w:val="21"/>
              </w:rPr>
              <w:t>MENTAL HEALTH ATTENDANCES</w:t>
            </w:r>
          </w:p>
          <w:p w14:paraId="27B81E7D" w14:textId="77777777" w:rsidR="00F31549" w:rsidRPr="00C41925" w:rsidRDefault="00F31549" w:rsidP="00234CDA">
            <w:pPr>
              <w:rPr>
                <w:rFonts w:asciiTheme="minorHAnsi" w:hAnsiTheme="minorHAnsi" w:cstheme="minorHAnsi"/>
                <w:color w:val="002060"/>
                <w:sz w:val="21"/>
              </w:rPr>
            </w:pPr>
            <w:r w:rsidRPr="00C41925">
              <w:rPr>
                <w:rFonts w:asciiTheme="minorHAnsi" w:hAnsiTheme="minorHAnsi" w:cstheme="minorHAnsi"/>
                <w:color w:val="002060"/>
                <w:sz w:val="21"/>
              </w:rPr>
              <w:t>These services are for non-admitted patients</w:t>
            </w:r>
          </w:p>
        </w:tc>
      </w:tr>
      <w:tr w:rsidR="00F31549" w:rsidRPr="00C41925" w14:paraId="0FCF8B96" w14:textId="77777777" w:rsidTr="00E60C52">
        <w:trPr>
          <w:trHeight w:val="1544"/>
          <w:jc w:val="center"/>
        </w:trPr>
        <w:tc>
          <w:tcPr>
            <w:tcW w:w="2328" w:type="pct"/>
            <w:shd w:val="clear" w:color="auto" w:fill="D9D9D9" w:themeFill="background1" w:themeFillShade="D9"/>
          </w:tcPr>
          <w:p w14:paraId="2201DEDA" w14:textId="77777777" w:rsidR="00F31549" w:rsidRPr="00C41925" w:rsidRDefault="00F31549" w:rsidP="00E11DD6">
            <w:pPr>
              <w:pStyle w:val="Heading2"/>
              <w:spacing w:before="0" w:after="0" w:line="276" w:lineRule="auto"/>
              <w:outlineLvl w:val="1"/>
              <w:rPr>
                <w:rFonts w:asciiTheme="minorHAnsi" w:hAnsiTheme="minorHAnsi" w:cstheme="minorHAnsi"/>
                <w:b/>
                <w:color w:val="001A70"/>
                <w:sz w:val="21"/>
              </w:rPr>
            </w:pPr>
            <w:r w:rsidRPr="00C41925">
              <w:rPr>
                <w:rFonts w:asciiTheme="minorHAnsi" w:hAnsiTheme="minorHAnsi" w:cstheme="minorHAnsi"/>
                <w:b/>
                <w:color w:val="001A70"/>
                <w:sz w:val="21"/>
              </w:rPr>
              <w:t>Service</w:t>
            </w:r>
          </w:p>
        </w:tc>
        <w:tc>
          <w:tcPr>
            <w:tcW w:w="825" w:type="pct"/>
            <w:shd w:val="clear" w:color="auto" w:fill="D9D9D9" w:themeFill="background1" w:themeFillShade="D9"/>
          </w:tcPr>
          <w:p w14:paraId="3CCF1109" w14:textId="77777777" w:rsidR="00F31549" w:rsidRPr="00C41925" w:rsidRDefault="00F31549" w:rsidP="00E11DD6">
            <w:pPr>
              <w:pStyle w:val="Heading2"/>
              <w:spacing w:before="0" w:after="0" w:line="276" w:lineRule="auto"/>
              <w:outlineLvl w:val="1"/>
              <w:rPr>
                <w:rFonts w:asciiTheme="minorHAnsi" w:hAnsiTheme="minorHAnsi" w:cstheme="minorHAnsi"/>
                <w:i/>
                <w:sz w:val="21"/>
                <w:u w:val="single"/>
              </w:rPr>
            </w:pPr>
            <w:r w:rsidRPr="00C41925">
              <w:rPr>
                <w:rFonts w:asciiTheme="minorHAnsi" w:hAnsiTheme="minorHAnsi" w:cstheme="minorHAnsi"/>
                <w:b/>
                <w:color w:val="001A70"/>
                <w:sz w:val="21"/>
              </w:rPr>
              <w:t xml:space="preserve">Existing Items </w:t>
            </w:r>
          </w:p>
          <w:p w14:paraId="6ECD56D1" w14:textId="77777777" w:rsidR="00F31549" w:rsidRPr="00C41925" w:rsidRDefault="00F31549" w:rsidP="00E11DD6">
            <w:pPr>
              <w:rPr>
                <w:rFonts w:asciiTheme="minorHAnsi" w:hAnsiTheme="minorHAnsi" w:cstheme="minorHAnsi"/>
                <w:i/>
                <w:sz w:val="21"/>
                <w:u w:val="single"/>
              </w:rPr>
            </w:pPr>
          </w:p>
        </w:tc>
        <w:tc>
          <w:tcPr>
            <w:tcW w:w="891" w:type="pct"/>
            <w:shd w:val="clear" w:color="auto" w:fill="D9D9D9" w:themeFill="background1" w:themeFillShade="D9"/>
          </w:tcPr>
          <w:p w14:paraId="568873E1" w14:textId="77777777" w:rsidR="00F31549" w:rsidRPr="00C41925" w:rsidRDefault="00F31549" w:rsidP="00E11DD6">
            <w:pPr>
              <w:pStyle w:val="Heading2"/>
              <w:spacing w:before="0" w:after="0" w:line="276" w:lineRule="auto"/>
              <w:outlineLvl w:val="1"/>
              <w:rPr>
                <w:rFonts w:asciiTheme="minorHAnsi" w:hAnsiTheme="minorHAnsi" w:cstheme="minorHAnsi"/>
                <w:b/>
                <w:color w:val="001A70"/>
                <w:sz w:val="21"/>
              </w:rPr>
            </w:pPr>
            <w:r w:rsidRPr="00C41925">
              <w:rPr>
                <w:rFonts w:asciiTheme="minorHAnsi" w:hAnsiTheme="minorHAnsi" w:cstheme="minorHAnsi"/>
                <w:b/>
                <w:color w:val="001A70"/>
                <w:sz w:val="21"/>
              </w:rPr>
              <w:t>COVID-19 Telehealth items</w:t>
            </w:r>
          </w:p>
          <w:p w14:paraId="4BD26491" w14:textId="77777777" w:rsidR="00F31549" w:rsidRPr="00C41925" w:rsidRDefault="00F31549" w:rsidP="00E11DD6">
            <w:pPr>
              <w:pStyle w:val="Heading2"/>
              <w:spacing w:before="0" w:after="0" w:line="276" w:lineRule="auto"/>
              <w:outlineLvl w:val="1"/>
              <w:rPr>
                <w:rFonts w:asciiTheme="minorHAnsi" w:hAnsiTheme="minorHAnsi" w:cstheme="minorHAnsi"/>
                <w:b/>
                <w:color w:val="001A70"/>
                <w:sz w:val="21"/>
              </w:rPr>
            </w:pPr>
            <w:r w:rsidRPr="00C41925">
              <w:rPr>
                <w:rFonts w:asciiTheme="minorHAnsi" w:hAnsiTheme="minorHAnsi" w:cstheme="minorHAnsi"/>
                <w:i/>
                <w:color w:val="001A70"/>
                <w:sz w:val="21"/>
              </w:rPr>
              <w:t>video-conference</w:t>
            </w:r>
          </w:p>
        </w:tc>
        <w:tc>
          <w:tcPr>
            <w:tcW w:w="955" w:type="pct"/>
            <w:shd w:val="clear" w:color="auto" w:fill="D9D9D9" w:themeFill="background1" w:themeFillShade="D9"/>
          </w:tcPr>
          <w:p w14:paraId="6168E2BE" w14:textId="77777777" w:rsidR="00F31549" w:rsidRPr="00C41925" w:rsidRDefault="00F31549" w:rsidP="00E11DD6">
            <w:pPr>
              <w:pStyle w:val="Heading2"/>
              <w:spacing w:before="0" w:after="0" w:line="276" w:lineRule="auto"/>
              <w:outlineLvl w:val="1"/>
              <w:rPr>
                <w:rFonts w:asciiTheme="minorHAnsi" w:hAnsiTheme="minorHAnsi" w:cstheme="minorHAnsi"/>
                <w:i/>
                <w:color w:val="001A70"/>
                <w:sz w:val="21"/>
              </w:rPr>
            </w:pPr>
            <w:r w:rsidRPr="00C41925">
              <w:rPr>
                <w:rFonts w:asciiTheme="minorHAnsi" w:hAnsiTheme="minorHAnsi" w:cstheme="minorHAnsi"/>
                <w:b/>
                <w:color w:val="001A70"/>
                <w:sz w:val="21"/>
              </w:rPr>
              <w:t>COVID-19 Telephone items</w:t>
            </w:r>
            <w:r w:rsidRPr="00C41925">
              <w:rPr>
                <w:rFonts w:asciiTheme="minorHAnsi" w:hAnsiTheme="minorHAnsi" w:cstheme="minorHAnsi"/>
                <w:i/>
                <w:color w:val="001A70"/>
                <w:sz w:val="21"/>
              </w:rPr>
              <w:t xml:space="preserve"> – for when video-conferencing is not available</w:t>
            </w:r>
          </w:p>
        </w:tc>
      </w:tr>
      <w:tr w:rsidR="00F31549" w:rsidRPr="00C41925" w14:paraId="09B8C692" w14:textId="77777777" w:rsidTr="00E60C52">
        <w:trPr>
          <w:trHeight w:val="267"/>
          <w:jc w:val="center"/>
        </w:trPr>
        <w:tc>
          <w:tcPr>
            <w:tcW w:w="5000" w:type="pct"/>
            <w:gridSpan w:val="4"/>
            <w:shd w:val="clear" w:color="auto" w:fill="auto"/>
            <w:vAlign w:val="center"/>
          </w:tcPr>
          <w:p w14:paraId="282AB6EF" w14:textId="77777777" w:rsidR="00F31549" w:rsidRPr="00C41925" w:rsidRDefault="00F31549" w:rsidP="00E11DD6">
            <w:pPr>
              <w:jc w:val="center"/>
              <w:rPr>
                <w:rFonts w:asciiTheme="minorHAnsi" w:hAnsiTheme="minorHAnsi" w:cstheme="minorHAnsi"/>
                <w:b/>
                <w:color w:val="001A70"/>
                <w:sz w:val="21"/>
              </w:rPr>
            </w:pPr>
            <w:r w:rsidRPr="00C41925">
              <w:rPr>
                <w:rFonts w:asciiTheme="minorHAnsi" w:hAnsiTheme="minorHAnsi" w:cstheme="minorHAnsi"/>
                <w:b/>
                <w:color w:val="001A70"/>
                <w:sz w:val="21"/>
              </w:rPr>
              <w:t>Clinical Psychologists</w:t>
            </w:r>
          </w:p>
        </w:tc>
      </w:tr>
      <w:tr w:rsidR="00F31549" w:rsidRPr="00C41925" w14:paraId="33274102" w14:textId="77777777" w:rsidTr="00E60C52">
        <w:trPr>
          <w:trHeight w:val="565"/>
          <w:jc w:val="center"/>
        </w:trPr>
        <w:tc>
          <w:tcPr>
            <w:tcW w:w="2328" w:type="pct"/>
            <w:shd w:val="clear" w:color="auto" w:fill="F2F2F2" w:themeFill="background1" w:themeFillShade="F2"/>
          </w:tcPr>
          <w:p w14:paraId="10A6770E" w14:textId="77777777" w:rsidR="00F31549" w:rsidRPr="00C41925" w:rsidRDefault="00F31549" w:rsidP="00E11DD6">
            <w:pPr>
              <w:pStyle w:val="Heading2"/>
              <w:spacing w:before="0" w:after="0" w:line="276" w:lineRule="auto"/>
              <w:outlineLvl w:val="1"/>
              <w:rPr>
                <w:rFonts w:asciiTheme="minorHAnsi" w:hAnsiTheme="minorHAnsi" w:cstheme="minorHAnsi"/>
                <w:color w:val="001A70"/>
                <w:sz w:val="21"/>
              </w:rPr>
            </w:pPr>
            <w:r w:rsidRPr="00C41925">
              <w:rPr>
                <w:rFonts w:asciiTheme="minorHAnsi" w:hAnsiTheme="minorHAnsi" w:cstheme="minorHAnsi"/>
                <w:color w:val="001A70"/>
                <w:sz w:val="21"/>
              </w:rPr>
              <w:t>Attendance lasting more than 30 minutes but less than 50 minutes</w:t>
            </w:r>
          </w:p>
        </w:tc>
        <w:tc>
          <w:tcPr>
            <w:tcW w:w="825" w:type="pct"/>
            <w:shd w:val="clear" w:color="auto" w:fill="auto"/>
          </w:tcPr>
          <w:p w14:paraId="5D320769" w14:textId="77777777" w:rsidR="00F31549" w:rsidRPr="00C41925" w:rsidRDefault="00F31549" w:rsidP="00E11DD6">
            <w:pPr>
              <w:pStyle w:val="Heading2"/>
              <w:spacing w:before="0" w:after="0" w:line="276" w:lineRule="auto"/>
              <w:jc w:val="center"/>
              <w:outlineLvl w:val="1"/>
              <w:rPr>
                <w:rFonts w:asciiTheme="minorHAnsi" w:hAnsiTheme="minorHAnsi" w:cstheme="minorHAnsi"/>
                <w:color w:val="001A70"/>
                <w:sz w:val="21"/>
              </w:rPr>
            </w:pPr>
            <w:r w:rsidRPr="00C41925">
              <w:rPr>
                <w:rFonts w:asciiTheme="minorHAnsi" w:hAnsiTheme="minorHAnsi" w:cstheme="minorHAnsi"/>
                <w:color w:val="001A70"/>
                <w:sz w:val="21"/>
              </w:rPr>
              <w:t>80001</w:t>
            </w:r>
          </w:p>
        </w:tc>
        <w:tc>
          <w:tcPr>
            <w:tcW w:w="891" w:type="pct"/>
          </w:tcPr>
          <w:p w14:paraId="6353313E" w14:textId="77777777" w:rsidR="00F31549" w:rsidRPr="00C41925" w:rsidRDefault="00F31549" w:rsidP="00E11DD6">
            <w:pPr>
              <w:jc w:val="center"/>
              <w:rPr>
                <w:rFonts w:asciiTheme="minorHAnsi" w:hAnsiTheme="minorHAnsi" w:cstheme="minorHAnsi"/>
                <w:color w:val="001A70"/>
                <w:sz w:val="21"/>
              </w:rPr>
            </w:pPr>
            <w:r w:rsidRPr="00C41925">
              <w:rPr>
                <w:rFonts w:asciiTheme="minorHAnsi" w:hAnsiTheme="minorHAnsi" w:cstheme="minorHAnsi"/>
                <w:color w:val="001A70"/>
                <w:sz w:val="21"/>
              </w:rPr>
              <w:t>91166</w:t>
            </w:r>
          </w:p>
        </w:tc>
        <w:tc>
          <w:tcPr>
            <w:tcW w:w="955" w:type="pct"/>
          </w:tcPr>
          <w:p w14:paraId="0994F929" w14:textId="77777777" w:rsidR="00F31549" w:rsidRPr="00C41925" w:rsidRDefault="00F31549" w:rsidP="00E11DD6">
            <w:pPr>
              <w:jc w:val="center"/>
              <w:rPr>
                <w:rFonts w:asciiTheme="minorHAnsi" w:hAnsiTheme="minorHAnsi" w:cstheme="minorHAnsi"/>
                <w:color w:val="001A70"/>
                <w:sz w:val="21"/>
              </w:rPr>
            </w:pPr>
            <w:r w:rsidRPr="00C41925">
              <w:rPr>
                <w:rFonts w:asciiTheme="minorHAnsi" w:hAnsiTheme="minorHAnsi" w:cstheme="minorHAnsi"/>
                <w:color w:val="001A70"/>
                <w:sz w:val="21"/>
              </w:rPr>
              <w:t>91181</w:t>
            </w:r>
          </w:p>
        </w:tc>
      </w:tr>
      <w:tr w:rsidR="00F31549" w:rsidRPr="00C41925" w14:paraId="21393A65" w14:textId="77777777" w:rsidTr="00E60C52">
        <w:trPr>
          <w:trHeight w:val="282"/>
          <w:jc w:val="center"/>
        </w:trPr>
        <w:tc>
          <w:tcPr>
            <w:tcW w:w="2328" w:type="pct"/>
            <w:shd w:val="clear" w:color="auto" w:fill="F2F2F2" w:themeFill="background1" w:themeFillShade="F2"/>
          </w:tcPr>
          <w:p w14:paraId="03F5BC87" w14:textId="77777777" w:rsidR="00F31549" w:rsidRPr="00C41925" w:rsidRDefault="00F31549" w:rsidP="00E11DD6">
            <w:pPr>
              <w:pStyle w:val="Heading2"/>
              <w:spacing w:before="0" w:after="0" w:line="276" w:lineRule="auto"/>
              <w:outlineLvl w:val="1"/>
              <w:rPr>
                <w:rFonts w:asciiTheme="minorHAnsi" w:hAnsiTheme="minorHAnsi" w:cstheme="minorHAnsi"/>
                <w:color w:val="001A70"/>
                <w:sz w:val="21"/>
              </w:rPr>
            </w:pPr>
            <w:r w:rsidRPr="00C41925">
              <w:rPr>
                <w:rFonts w:asciiTheme="minorHAnsi" w:hAnsiTheme="minorHAnsi" w:cstheme="minorHAnsi"/>
                <w:color w:val="001A70"/>
                <w:sz w:val="21"/>
              </w:rPr>
              <w:t>Attendance lasting at least 50 minutes</w:t>
            </w:r>
          </w:p>
        </w:tc>
        <w:tc>
          <w:tcPr>
            <w:tcW w:w="825" w:type="pct"/>
            <w:shd w:val="clear" w:color="auto" w:fill="auto"/>
          </w:tcPr>
          <w:p w14:paraId="054E2F82" w14:textId="77777777" w:rsidR="00F31549" w:rsidRPr="00C41925" w:rsidRDefault="00F31549" w:rsidP="00E11DD6">
            <w:pPr>
              <w:pStyle w:val="Heading2"/>
              <w:spacing w:before="0" w:after="0" w:line="276" w:lineRule="auto"/>
              <w:jc w:val="center"/>
              <w:outlineLvl w:val="1"/>
              <w:rPr>
                <w:rFonts w:asciiTheme="minorHAnsi" w:hAnsiTheme="minorHAnsi" w:cstheme="minorHAnsi"/>
                <w:color w:val="001A70"/>
                <w:sz w:val="21"/>
              </w:rPr>
            </w:pPr>
            <w:r w:rsidRPr="00C41925">
              <w:rPr>
                <w:rFonts w:asciiTheme="minorHAnsi" w:hAnsiTheme="minorHAnsi" w:cstheme="minorHAnsi"/>
                <w:color w:val="001A70"/>
                <w:sz w:val="21"/>
              </w:rPr>
              <w:t>80011</w:t>
            </w:r>
          </w:p>
        </w:tc>
        <w:tc>
          <w:tcPr>
            <w:tcW w:w="891" w:type="pct"/>
          </w:tcPr>
          <w:p w14:paraId="23814500" w14:textId="77777777" w:rsidR="00F31549" w:rsidRPr="00C41925" w:rsidRDefault="00F31549" w:rsidP="00E11DD6">
            <w:pPr>
              <w:jc w:val="center"/>
              <w:rPr>
                <w:rFonts w:asciiTheme="minorHAnsi" w:hAnsiTheme="minorHAnsi" w:cstheme="minorHAnsi"/>
                <w:color w:val="001A70"/>
                <w:sz w:val="21"/>
              </w:rPr>
            </w:pPr>
            <w:r w:rsidRPr="00C41925">
              <w:rPr>
                <w:rFonts w:asciiTheme="minorHAnsi" w:hAnsiTheme="minorHAnsi" w:cstheme="minorHAnsi"/>
                <w:color w:val="001A70"/>
                <w:sz w:val="21"/>
              </w:rPr>
              <w:t>91167</w:t>
            </w:r>
          </w:p>
        </w:tc>
        <w:tc>
          <w:tcPr>
            <w:tcW w:w="955" w:type="pct"/>
          </w:tcPr>
          <w:p w14:paraId="3140E260" w14:textId="77777777" w:rsidR="00F31549" w:rsidRPr="00C41925" w:rsidRDefault="00F31549" w:rsidP="00E11DD6">
            <w:pPr>
              <w:jc w:val="center"/>
              <w:rPr>
                <w:rFonts w:asciiTheme="minorHAnsi" w:hAnsiTheme="minorHAnsi" w:cstheme="minorHAnsi"/>
                <w:color w:val="001A70"/>
                <w:sz w:val="21"/>
              </w:rPr>
            </w:pPr>
            <w:r w:rsidRPr="00C41925">
              <w:rPr>
                <w:rFonts w:asciiTheme="minorHAnsi" w:hAnsiTheme="minorHAnsi" w:cstheme="minorHAnsi"/>
                <w:color w:val="001A70"/>
                <w:sz w:val="21"/>
              </w:rPr>
              <w:t>91182</w:t>
            </w:r>
          </w:p>
        </w:tc>
      </w:tr>
      <w:tr w:rsidR="00F31549" w:rsidRPr="00C41925" w14:paraId="326F62E3" w14:textId="77777777" w:rsidTr="00E60C52">
        <w:trPr>
          <w:trHeight w:val="182"/>
          <w:jc w:val="center"/>
        </w:trPr>
        <w:tc>
          <w:tcPr>
            <w:tcW w:w="5000" w:type="pct"/>
            <w:gridSpan w:val="4"/>
            <w:shd w:val="clear" w:color="auto" w:fill="auto"/>
            <w:vAlign w:val="center"/>
          </w:tcPr>
          <w:p w14:paraId="2B81ED0A" w14:textId="77777777" w:rsidR="00F31549" w:rsidRPr="00C41925" w:rsidRDefault="00F31549" w:rsidP="00E11DD6">
            <w:pPr>
              <w:jc w:val="center"/>
              <w:rPr>
                <w:rFonts w:asciiTheme="minorHAnsi" w:hAnsiTheme="minorHAnsi" w:cstheme="minorHAnsi"/>
                <w:b/>
                <w:color w:val="001A70"/>
                <w:sz w:val="21"/>
              </w:rPr>
            </w:pPr>
            <w:r w:rsidRPr="00C41925">
              <w:rPr>
                <w:rFonts w:asciiTheme="minorHAnsi" w:hAnsiTheme="minorHAnsi" w:cstheme="minorHAnsi"/>
              </w:rPr>
              <w:br w:type="page"/>
            </w:r>
            <w:r w:rsidRPr="00C41925">
              <w:rPr>
                <w:rFonts w:asciiTheme="minorHAnsi" w:hAnsiTheme="minorHAnsi" w:cstheme="minorHAnsi"/>
                <w:b/>
                <w:color w:val="001A70"/>
                <w:sz w:val="21"/>
              </w:rPr>
              <w:t>Psychologists</w:t>
            </w:r>
          </w:p>
        </w:tc>
      </w:tr>
      <w:tr w:rsidR="00F31549" w:rsidRPr="00C41925" w14:paraId="0907D861" w14:textId="77777777" w:rsidTr="00E60C52">
        <w:trPr>
          <w:trHeight w:val="182"/>
          <w:jc w:val="center"/>
        </w:trPr>
        <w:tc>
          <w:tcPr>
            <w:tcW w:w="2328" w:type="pct"/>
            <w:shd w:val="clear" w:color="auto" w:fill="F2F2F2" w:themeFill="background1" w:themeFillShade="F2"/>
          </w:tcPr>
          <w:p w14:paraId="76317887" w14:textId="77777777" w:rsidR="00F31549" w:rsidRPr="00C41925" w:rsidRDefault="00F31549" w:rsidP="00E11DD6">
            <w:pPr>
              <w:pStyle w:val="Heading2"/>
              <w:spacing w:before="0" w:after="0" w:line="276" w:lineRule="auto"/>
              <w:outlineLvl w:val="1"/>
              <w:rPr>
                <w:rFonts w:asciiTheme="minorHAnsi" w:hAnsiTheme="minorHAnsi" w:cstheme="minorHAnsi"/>
                <w:color w:val="001A70"/>
                <w:sz w:val="21"/>
              </w:rPr>
            </w:pPr>
            <w:r w:rsidRPr="00C41925">
              <w:rPr>
                <w:rFonts w:asciiTheme="minorHAnsi" w:hAnsiTheme="minorHAnsi" w:cstheme="minorHAnsi"/>
                <w:color w:val="001A70"/>
                <w:sz w:val="21"/>
              </w:rPr>
              <w:t>Attendance lasting more than 20 minutes but less than 50 minutes</w:t>
            </w:r>
          </w:p>
        </w:tc>
        <w:tc>
          <w:tcPr>
            <w:tcW w:w="825" w:type="pct"/>
            <w:shd w:val="clear" w:color="auto" w:fill="auto"/>
          </w:tcPr>
          <w:p w14:paraId="62E9B99E" w14:textId="77777777" w:rsidR="00F31549" w:rsidRPr="00C41925" w:rsidRDefault="00F31549" w:rsidP="00E11DD6">
            <w:pPr>
              <w:pStyle w:val="Heading2"/>
              <w:spacing w:before="0" w:after="0" w:line="276" w:lineRule="auto"/>
              <w:jc w:val="center"/>
              <w:outlineLvl w:val="1"/>
              <w:rPr>
                <w:rFonts w:asciiTheme="minorHAnsi" w:hAnsiTheme="minorHAnsi" w:cstheme="minorHAnsi"/>
                <w:color w:val="001A70"/>
                <w:sz w:val="21"/>
              </w:rPr>
            </w:pPr>
            <w:r w:rsidRPr="00C41925">
              <w:rPr>
                <w:rFonts w:asciiTheme="minorHAnsi" w:hAnsiTheme="minorHAnsi" w:cstheme="minorHAnsi"/>
                <w:color w:val="001A70"/>
                <w:sz w:val="21"/>
              </w:rPr>
              <w:t>80101</w:t>
            </w:r>
          </w:p>
        </w:tc>
        <w:tc>
          <w:tcPr>
            <w:tcW w:w="891" w:type="pct"/>
          </w:tcPr>
          <w:p w14:paraId="3B82D5DD" w14:textId="77777777" w:rsidR="00F31549" w:rsidRPr="00C41925" w:rsidRDefault="00F31549" w:rsidP="00E11DD6">
            <w:pPr>
              <w:jc w:val="center"/>
              <w:rPr>
                <w:rFonts w:asciiTheme="minorHAnsi" w:hAnsiTheme="minorHAnsi" w:cstheme="minorHAnsi"/>
                <w:color w:val="001A70"/>
                <w:sz w:val="21"/>
              </w:rPr>
            </w:pPr>
            <w:r w:rsidRPr="00C41925">
              <w:rPr>
                <w:rFonts w:asciiTheme="minorHAnsi" w:hAnsiTheme="minorHAnsi" w:cstheme="minorHAnsi"/>
                <w:color w:val="001A70"/>
                <w:sz w:val="21"/>
              </w:rPr>
              <w:t>91169</w:t>
            </w:r>
          </w:p>
        </w:tc>
        <w:tc>
          <w:tcPr>
            <w:tcW w:w="955" w:type="pct"/>
          </w:tcPr>
          <w:p w14:paraId="2553559B" w14:textId="77777777" w:rsidR="00F31549" w:rsidRPr="00C41925" w:rsidRDefault="00F31549" w:rsidP="00E11DD6">
            <w:pPr>
              <w:jc w:val="center"/>
              <w:rPr>
                <w:rFonts w:asciiTheme="minorHAnsi" w:hAnsiTheme="minorHAnsi" w:cstheme="minorHAnsi"/>
                <w:color w:val="001A70"/>
                <w:sz w:val="21"/>
              </w:rPr>
            </w:pPr>
            <w:r w:rsidRPr="00C41925">
              <w:rPr>
                <w:rFonts w:asciiTheme="minorHAnsi" w:hAnsiTheme="minorHAnsi" w:cstheme="minorHAnsi"/>
                <w:color w:val="001A70"/>
                <w:sz w:val="21"/>
              </w:rPr>
              <w:t>91183</w:t>
            </w:r>
          </w:p>
        </w:tc>
      </w:tr>
      <w:tr w:rsidR="00F31549" w:rsidRPr="00C41925" w14:paraId="3E31751D" w14:textId="77777777" w:rsidTr="00E60C52">
        <w:trPr>
          <w:trHeight w:val="282"/>
          <w:jc w:val="center"/>
        </w:trPr>
        <w:tc>
          <w:tcPr>
            <w:tcW w:w="2328" w:type="pct"/>
            <w:shd w:val="clear" w:color="auto" w:fill="F2F2F2" w:themeFill="background1" w:themeFillShade="F2"/>
          </w:tcPr>
          <w:p w14:paraId="0D04B624" w14:textId="77777777" w:rsidR="00F31549" w:rsidRPr="00C41925" w:rsidRDefault="00F31549" w:rsidP="00E11DD6">
            <w:pPr>
              <w:pStyle w:val="Heading2"/>
              <w:spacing w:before="0" w:after="0" w:line="276" w:lineRule="auto"/>
              <w:outlineLvl w:val="1"/>
              <w:rPr>
                <w:rFonts w:asciiTheme="minorHAnsi" w:hAnsiTheme="minorHAnsi" w:cstheme="minorHAnsi"/>
                <w:color w:val="001A70"/>
                <w:sz w:val="21"/>
              </w:rPr>
            </w:pPr>
            <w:r w:rsidRPr="00C41925">
              <w:rPr>
                <w:rFonts w:asciiTheme="minorHAnsi" w:hAnsiTheme="minorHAnsi" w:cstheme="minorHAnsi"/>
                <w:color w:val="001A70"/>
                <w:sz w:val="21"/>
              </w:rPr>
              <w:t>Attendance lasting at least 50 minutes</w:t>
            </w:r>
          </w:p>
        </w:tc>
        <w:tc>
          <w:tcPr>
            <w:tcW w:w="825" w:type="pct"/>
            <w:shd w:val="clear" w:color="auto" w:fill="auto"/>
          </w:tcPr>
          <w:p w14:paraId="08CC3FB3" w14:textId="77777777" w:rsidR="00F31549" w:rsidRPr="00C41925" w:rsidRDefault="00F31549" w:rsidP="00E11DD6">
            <w:pPr>
              <w:pStyle w:val="Heading2"/>
              <w:spacing w:before="0" w:after="0" w:line="276" w:lineRule="auto"/>
              <w:jc w:val="center"/>
              <w:outlineLvl w:val="1"/>
              <w:rPr>
                <w:rFonts w:asciiTheme="minorHAnsi" w:hAnsiTheme="minorHAnsi" w:cstheme="minorHAnsi"/>
                <w:color w:val="001A70"/>
                <w:sz w:val="21"/>
              </w:rPr>
            </w:pPr>
            <w:r w:rsidRPr="00C41925">
              <w:rPr>
                <w:rFonts w:asciiTheme="minorHAnsi" w:hAnsiTheme="minorHAnsi" w:cstheme="minorHAnsi"/>
                <w:color w:val="001A70"/>
                <w:sz w:val="21"/>
              </w:rPr>
              <w:t xml:space="preserve">80111 </w:t>
            </w:r>
          </w:p>
        </w:tc>
        <w:tc>
          <w:tcPr>
            <w:tcW w:w="891" w:type="pct"/>
          </w:tcPr>
          <w:p w14:paraId="1EB4677B" w14:textId="77777777" w:rsidR="00F31549" w:rsidRPr="00C41925" w:rsidRDefault="00F31549" w:rsidP="00E11DD6">
            <w:pPr>
              <w:jc w:val="center"/>
              <w:rPr>
                <w:rFonts w:asciiTheme="minorHAnsi" w:hAnsiTheme="minorHAnsi" w:cstheme="minorHAnsi"/>
                <w:color w:val="001A70"/>
                <w:sz w:val="21"/>
              </w:rPr>
            </w:pPr>
            <w:r w:rsidRPr="00C41925">
              <w:rPr>
                <w:rFonts w:asciiTheme="minorHAnsi" w:hAnsiTheme="minorHAnsi" w:cstheme="minorHAnsi"/>
                <w:color w:val="001A70"/>
                <w:sz w:val="21"/>
              </w:rPr>
              <w:t>91170</w:t>
            </w:r>
          </w:p>
        </w:tc>
        <w:tc>
          <w:tcPr>
            <w:tcW w:w="955" w:type="pct"/>
          </w:tcPr>
          <w:p w14:paraId="09F2AF08" w14:textId="77777777" w:rsidR="00F31549" w:rsidRPr="00C41925" w:rsidRDefault="00F31549" w:rsidP="00E11DD6">
            <w:pPr>
              <w:jc w:val="center"/>
              <w:rPr>
                <w:rFonts w:asciiTheme="minorHAnsi" w:hAnsiTheme="minorHAnsi" w:cstheme="minorHAnsi"/>
                <w:color w:val="001A70"/>
                <w:sz w:val="21"/>
              </w:rPr>
            </w:pPr>
            <w:r w:rsidRPr="00C41925">
              <w:rPr>
                <w:rFonts w:asciiTheme="minorHAnsi" w:hAnsiTheme="minorHAnsi" w:cstheme="minorHAnsi"/>
                <w:color w:val="001A70"/>
                <w:sz w:val="21"/>
              </w:rPr>
              <w:t>91184</w:t>
            </w:r>
          </w:p>
        </w:tc>
      </w:tr>
    </w:tbl>
    <w:p w14:paraId="0A669DA6" w14:textId="77777777" w:rsidR="003376C6" w:rsidRPr="00C41925" w:rsidRDefault="003376C6" w:rsidP="00C24DE1">
      <w:pPr>
        <w:spacing w:line="276" w:lineRule="auto"/>
        <w:rPr>
          <w:rFonts w:asciiTheme="minorHAnsi" w:hAnsiTheme="minorHAnsi" w:cstheme="minorHAnsi"/>
        </w:rPr>
      </w:pPr>
    </w:p>
    <w:tbl>
      <w:tblPr>
        <w:tblStyle w:val="TableGrid"/>
        <w:tblW w:w="4820" w:type="pct"/>
        <w:jc w:val="center"/>
        <w:tblLook w:val="04A0" w:firstRow="1" w:lastRow="0" w:firstColumn="1" w:lastColumn="0" w:noHBand="0" w:noVBand="1"/>
      </w:tblPr>
      <w:tblGrid>
        <w:gridCol w:w="4620"/>
        <w:gridCol w:w="1687"/>
        <w:gridCol w:w="1822"/>
        <w:gridCol w:w="1951"/>
      </w:tblGrid>
      <w:tr w:rsidR="00C24DE1" w:rsidRPr="00C41925" w14:paraId="61FEE1AC" w14:textId="77777777" w:rsidTr="00E60C52">
        <w:trPr>
          <w:trHeight w:val="565"/>
          <w:jc w:val="center"/>
        </w:trPr>
        <w:tc>
          <w:tcPr>
            <w:tcW w:w="5000" w:type="pct"/>
            <w:gridSpan w:val="4"/>
          </w:tcPr>
          <w:p w14:paraId="1DBAA10E" w14:textId="77777777" w:rsidR="00C24DE1" w:rsidRPr="00C41925" w:rsidRDefault="00C24DE1" w:rsidP="00F77447">
            <w:pPr>
              <w:spacing w:line="276" w:lineRule="auto"/>
              <w:outlineLvl w:val="1"/>
              <w:rPr>
                <w:rFonts w:asciiTheme="minorHAnsi" w:hAnsiTheme="minorHAnsi" w:cstheme="minorHAnsi"/>
                <w:b/>
                <w:color w:val="001A70"/>
                <w:sz w:val="21"/>
              </w:rPr>
            </w:pPr>
            <w:r w:rsidRPr="00C41925">
              <w:rPr>
                <w:rFonts w:asciiTheme="minorHAnsi" w:hAnsiTheme="minorHAnsi" w:cstheme="minorHAnsi"/>
                <w:b/>
                <w:color w:val="001A70"/>
                <w:sz w:val="21"/>
              </w:rPr>
              <w:t>ALLIED</w:t>
            </w:r>
            <w:r w:rsidR="004C16AD" w:rsidRPr="00C41925">
              <w:rPr>
                <w:rFonts w:asciiTheme="minorHAnsi" w:hAnsiTheme="minorHAnsi" w:cstheme="minorHAnsi"/>
                <w:b/>
                <w:color w:val="001A70"/>
                <w:sz w:val="21"/>
              </w:rPr>
              <w:t xml:space="preserve"> HEALTH ATTENDANCES</w:t>
            </w:r>
          </w:p>
          <w:p w14:paraId="1BC14EF6" w14:textId="77777777" w:rsidR="00C24DE1" w:rsidRPr="00C41925" w:rsidRDefault="00C24DE1" w:rsidP="00234CDA">
            <w:pPr>
              <w:rPr>
                <w:rFonts w:asciiTheme="minorHAnsi" w:hAnsiTheme="minorHAnsi" w:cstheme="minorHAnsi"/>
                <w:color w:val="002060"/>
                <w:sz w:val="21"/>
              </w:rPr>
            </w:pPr>
            <w:r w:rsidRPr="00C41925">
              <w:rPr>
                <w:rFonts w:asciiTheme="minorHAnsi" w:hAnsiTheme="minorHAnsi" w:cstheme="minorHAnsi"/>
                <w:color w:val="002060"/>
                <w:sz w:val="21"/>
              </w:rPr>
              <w:t>These services are for non-admitted patients</w:t>
            </w:r>
          </w:p>
        </w:tc>
      </w:tr>
      <w:tr w:rsidR="00C24DE1" w:rsidRPr="00C41925" w14:paraId="55DF094D" w14:textId="77777777" w:rsidTr="00E60C52">
        <w:trPr>
          <w:trHeight w:val="1524"/>
          <w:jc w:val="center"/>
        </w:trPr>
        <w:tc>
          <w:tcPr>
            <w:tcW w:w="2291" w:type="pct"/>
            <w:shd w:val="clear" w:color="auto" w:fill="D9D9D9" w:themeFill="background1" w:themeFillShade="D9"/>
          </w:tcPr>
          <w:p w14:paraId="0A246711" w14:textId="77777777" w:rsidR="00C24DE1" w:rsidRPr="00C41925" w:rsidRDefault="00C24DE1" w:rsidP="00F77447">
            <w:pPr>
              <w:pStyle w:val="Heading2"/>
              <w:spacing w:before="0" w:after="0" w:line="276" w:lineRule="auto"/>
              <w:outlineLvl w:val="1"/>
              <w:rPr>
                <w:rFonts w:asciiTheme="minorHAnsi" w:hAnsiTheme="minorHAnsi" w:cstheme="minorHAnsi"/>
                <w:b/>
                <w:color w:val="001A70"/>
                <w:sz w:val="21"/>
              </w:rPr>
            </w:pPr>
            <w:r w:rsidRPr="00C41925">
              <w:rPr>
                <w:rFonts w:asciiTheme="minorHAnsi" w:hAnsiTheme="minorHAnsi" w:cstheme="minorHAnsi"/>
                <w:b/>
                <w:color w:val="001A70"/>
                <w:sz w:val="21"/>
              </w:rPr>
              <w:t>Service</w:t>
            </w:r>
          </w:p>
        </w:tc>
        <w:tc>
          <w:tcPr>
            <w:tcW w:w="837" w:type="pct"/>
            <w:shd w:val="clear" w:color="auto" w:fill="D9D9D9" w:themeFill="background1" w:themeFillShade="D9"/>
          </w:tcPr>
          <w:p w14:paraId="3192BA03" w14:textId="77777777" w:rsidR="00C24DE1" w:rsidRPr="00C41925" w:rsidRDefault="00C24DE1" w:rsidP="00F77447">
            <w:pPr>
              <w:pStyle w:val="Heading2"/>
              <w:spacing w:before="0" w:after="0" w:line="276" w:lineRule="auto"/>
              <w:outlineLvl w:val="1"/>
              <w:rPr>
                <w:rFonts w:asciiTheme="minorHAnsi" w:hAnsiTheme="minorHAnsi" w:cstheme="minorHAnsi"/>
                <w:b/>
                <w:color w:val="001A70"/>
                <w:sz w:val="21"/>
              </w:rPr>
            </w:pPr>
            <w:r w:rsidRPr="00C41925">
              <w:rPr>
                <w:rFonts w:asciiTheme="minorHAnsi" w:hAnsiTheme="minorHAnsi" w:cstheme="minorHAnsi"/>
                <w:b/>
                <w:color w:val="001A70"/>
                <w:sz w:val="21"/>
              </w:rPr>
              <w:t xml:space="preserve">Existing Items </w:t>
            </w:r>
          </w:p>
          <w:p w14:paraId="64F6DFD3" w14:textId="77777777" w:rsidR="00C24DE1" w:rsidRPr="00C41925" w:rsidRDefault="00C24DE1" w:rsidP="00F77447">
            <w:pPr>
              <w:pStyle w:val="Heading2"/>
              <w:spacing w:before="0" w:after="0" w:line="276" w:lineRule="auto"/>
              <w:outlineLvl w:val="1"/>
              <w:rPr>
                <w:rFonts w:asciiTheme="minorHAnsi" w:hAnsiTheme="minorHAnsi" w:cstheme="minorHAnsi"/>
                <w:i/>
                <w:sz w:val="21"/>
                <w:u w:val="single"/>
              </w:rPr>
            </w:pPr>
          </w:p>
        </w:tc>
        <w:tc>
          <w:tcPr>
            <w:tcW w:w="904" w:type="pct"/>
            <w:shd w:val="clear" w:color="auto" w:fill="D9D9D9" w:themeFill="background1" w:themeFillShade="D9"/>
          </w:tcPr>
          <w:p w14:paraId="6DF5A094" w14:textId="77777777" w:rsidR="00C24DE1" w:rsidRPr="00C41925" w:rsidRDefault="00C24DE1" w:rsidP="00F77447">
            <w:pPr>
              <w:pStyle w:val="Heading2"/>
              <w:spacing w:before="0" w:after="0" w:line="276" w:lineRule="auto"/>
              <w:outlineLvl w:val="1"/>
              <w:rPr>
                <w:rFonts w:asciiTheme="minorHAnsi" w:hAnsiTheme="minorHAnsi" w:cstheme="minorHAnsi"/>
                <w:b/>
                <w:color w:val="001A70"/>
                <w:sz w:val="21"/>
              </w:rPr>
            </w:pPr>
            <w:r w:rsidRPr="00C41925">
              <w:rPr>
                <w:rFonts w:asciiTheme="minorHAnsi" w:hAnsiTheme="minorHAnsi" w:cstheme="minorHAnsi"/>
                <w:b/>
                <w:color w:val="001A70"/>
                <w:sz w:val="21"/>
              </w:rPr>
              <w:t>COVID-19 Telehealth items</w:t>
            </w:r>
          </w:p>
          <w:p w14:paraId="031E426F" w14:textId="77777777" w:rsidR="00C24DE1" w:rsidRPr="00C41925" w:rsidRDefault="00C24DE1" w:rsidP="00F77447">
            <w:pPr>
              <w:pStyle w:val="Heading2"/>
              <w:spacing w:before="0" w:after="0" w:line="276" w:lineRule="auto"/>
              <w:outlineLvl w:val="1"/>
              <w:rPr>
                <w:rFonts w:asciiTheme="minorHAnsi" w:hAnsiTheme="minorHAnsi" w:cstheme="minorHAnsi"/>
                <w:b/>
                <w:color w:val="001A70"/>
                <w:sz w:val="21"/>
              </w:rPr>
            </w:pPr>
            <w:r w:rsidRPr="00C41925">
              <w:rPr>
                <w:rFonts w:asciiTheme="minorHAnsi" w:hAnsiTheme="minorHAnsi" w:cstheme="minorHAnsi"/>
                <w:i/>
                <w:color w:val="001A70"/>
                <w:sz w:val="21"/>
              </w:rPr>
              <w:t>video-conference</w:t>
            </w:r>
          </w:p>
        </w:tc>
        <w:tc>
          <w:tcPr>
            <w:tcW w:w="969" w:type="pct"/>
            <w:shd w:val="clear" w:color="auto" w:fill="D9D9D9" w:themeFill="background1" w:themeFillShade="D9"/>
          </w:tcPr>
          <w:p w14:paraId="3AE748C2" w14:textId="77777777" w:rsidR="00C24DE1" w:rsidRPr="00C41925" w:rsidRDefault="00C24DE1" w:rsidP="00F77447">
            <w:pPr>
              <w:pStyle w:val="Heading2"/>
              <w:spacing w:before="0" w:after="0" w:line="276" w:lineRule="auto"/>
              <w:outlineLvl w:val="1"/>
              <w:rPr>
                <w:rFonts w:asciiTheme="minorHAnsi" w:hAnsiTheme="minorHAnsi" w:cstheme="minorHAnsi"/>
                <w:i/>
                <w:color w:val="001A70"/>
                <w:sz w:val="21"/>
              </w:rPr>
            </w:pPr>
            <w:r w:rsidRPr="00C41925">
              <w:rPr>
                <w:rFonts w:asciiTheme="minorHAnsi" w:hAnsiTheme="minorHAnsi" w:cstheme="minorHAnsi"/>
                <w:b/>
                <w:color w:val="001A70"/>
                <w:sz w:val="21"/>
              </w:rPr>
              <w:t>COVID-19 Telephone items</w:t>
            </w:r>
            <w:r w:rsidRPr="00C41925">
              <w:rPr>
                <w:rFonts w:asciiTheme="minorHAnsi" w:hAnsiTheme="minorHAnsi" w:cstheme="minorHAnsi"/>
                <w:i/>
                <w:color w:val="001A70"/>
                <w:sz w:val="21"/>
              </w:rPr>
              <w:t xml:space="preserve"> – for when video-conferencing is not available</w:t>
            </w:r>
          </w:p>
        </w:tc>
      </w:tr>
      <w:tr w:rsidR="00C24DE1" w:rsidRPr="00C41925" w14:paraId="626DF7D7" w14:textId="77777777" w:rsidTr="00E60C52">
        <w:trPr>
          <w:trHeight w:val="282"/>
          <w:jc w:val="center"/>
        </w:trPr>
        <w:tc>
          <w:tcPr>
            <w:tcW w:w="5000" w:type="pct"/>
            <w:gridSpan w:val="4"/>
            <w:shd w:val="clear" w:color="auto" w:fill="auto"/>
            <w:vAlign w:val="center"/>
          </w:tcPr>
          <w:p w14:paraId="6874C31C"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b/>
                <w:color w:val="001A70"/>
                <w:sz w:val="21"/>
              </w:rPr>
              <w:t>Autism management</w:t>
            </w:r>
          </w:p>
        </w:tc>
      </w:tr>
      <w:tr w:rsidR="00C24DE1" w:rsidRPr="00C41925" w14:paraId="5DE9BA96" w14:textId="77777777" w:rsidTr="00E60C52">
        <w:trPr>
          <w:trHeight w:val="983"/>
          <w:jc w:val="center"/>
        </w:trPr>
        <w:tc>
          <w:tcPr>
            <w:tcW w:w="2291" w:type="pct"/>
            <w:shd w:val="clear" w:color="auto" w:fill="F2F2F2" w:themeFill="background1" w:themeFillShade="F2"/>
            <w:vAlign w:val="center"/>
          </w:tcPr>
          <w:p w14:paraId="2FC9D7CF" w14:textId="77777777" w:rsidR="00C24DE1" w:rsidRPr="00C41925" w:rsidRDefault="00C24DE1" w:rsidP="00F77447">
            <w:pPr>
              <w:pStyle w:val="Heading2"/>
              <w:spacing w:before="0" w:after="0" w:line="276" w:lineRule="auto"/>
              <w:outlineLvl w:val="1"/>
              <w:rPr>
                <w:rFonts w:asciiTheme="minorHAnsi" w:hAnsiTheme="minorHAnsi" w:cstheme="minorHAnsi"/>
                <w:color w:val="001A70"/>
                <w:sz w:val="21"/>
              </w:rPr>
            </w:pPr>
            <w:r w:rsidRPr="00C41925">
              <w:rPr>
                <w:rFonts w:asciiTheme="minorHAnsi" w:hAnsiTheme="minorHAnsi" w:cstheme="minorHAnsi"/>
                <w:color w:val="001A70"/>
                <w:sz w:val="21"/>
              </w:rPr>
              <w:t>Psychology, early intervention services for children with autism, pervasive developmental disorder or disability, under 13 years</w:t>
            </w:r>
          </w:p>
        </w:tc>
        <w:tc>
          <w:tcPr>
            <w:tcW w:w="837" w:type="pct"/>
            <w:shd w:val="clear" w:color="auto" w:fill="auto"/>
            <w:vAlign w:val="center"/>
          </w:tcPr>
          <w:p w14:paraId="6D68FED5"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82000</w:t>
            </w:r>
          </w:p>
        </w:tc>
        <w:tc>
          <w:tcPr>
            <w:tcW w:w="904" w:type="pct"/>
            <w:vAlign w:val="center"/>
          </w:tcPr>
          <w:p w14:paraId="70051B06"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93032</w:t>
            </w:r>
          </w:p>
        </w:tc>
        <w:tc>
          <w:tcPr>
            <w:tcW w:w="969" w:type="pct"/>
            <w:vAlign w:val="center"/>
          </w:tcPr>
          <w:p w14:paraId="0EEAB9E2"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93040</w:t>
            </w:r>
          </w:p>
        </w:tc>
      </w:tr>
      <w:tr w:rsidR="00C24DE1" w:rsidRPr="00C41925" w14:paraId="494BAAFD" w14:textId="77777777" w:rsidTr="00E60C52">
        <w:trPr>
          <w:trHeight w:val="1160"/>
          <w:jc w:val="center"/>
        </w:trPr>
        <w:tc>
          <w:tcPr>
            <w:tcW w:w="2291" w:type="pct"/>
            <w:shd w:val="clear" w:color="auto" w:fill="F2F2F2" w:themeFill="background1" w:themeFillShade="F2"/>
          </w:tcPr>
          <w:p w14:paraId="6AA80221" w14:textId="77777777" w:rsidR="00C24DE1" w:rsidRPr="00C41925" w:rsidRDefault="00C24DE1" w:rsidP="00F77447">
            <w:pPr>
              <w:pStyle w:val="Heading2"/>
              <w:spacing w:before="0" w:after="0" w:line="276" w:lineRule="auto"/>
              <w:outlineLvl w:val="1"/>
              <w:rPr>
                <w:rFonts w:asciiTheme="minorHAnsi" w:hAnsiTheme="minorHAnsi" w:cstheme="minorHAnsi"/>
                <w:color w:val="001A70"/>
                <w:sz w:val="21"/>
              </w:rPr>
            </w:pPr>
            <w:r w:rsidRPr="00C41925">
              <w:rPr>
                <w:rFonts w:asciiTheme="minorHAnsi" w:hAnsiTheme="minorHAnsi" w:cstheme="minorHAnsi"/>
                <w:color w:val="001A70"/>
                <w:sz w:val="21"/>
              </w:rPr>
              <w:t>Psychology, early intervention services for children with autism, pervasive developmental disorder or disability, under 15 years</w:t>
            </w:r>
          </w:p>
        </w:tc>
        <w:tc>
          <w:tcPr>
            <w:tcW w:w="837" w:type="pct"/>
          </w:tcPr>
          <w:p w14:paraId="4A668C92"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82015</w:t>
            </w:r>
          </w:p>
        </w:tc>
        <w:tc>
          <w:tcPr>
            <w:tcW w:w="904" w:type="pct"/>
          </w:tcPr>
          <w:p w14:paraId="5B2B9C0C"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93035</w:t>
            </w:r>
          </w:p>
        </w:tc>
        <w:tc>
          <w:tcPr>
            <w:tcW w:w="969" w:type="pct"/>
          </w:tcPr>
          <w:p w14:paraId="330E5E7D"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93043</w:t>
            </w:r>
          </w:p>
        </w:tc>
      </w:tr>
    </w:tbl>
    <w:p w14:paraId="76EB93FC" w14:textId="77777777" w:rsidR="00D828DF" w:rsidRDefault="00D828DF">
      <w:r>
        <w:br w:type="page"/>
      </w:r>
    </w:p>
    <w:tbl>
      <w:tblPr>
        <w:tblStyle w:val="TableGrid"/>
        <w:tblW w:w="4820" w:type="pct"/>
        <w:jc w:val="center"/>
        <w:tblLook w:val="04A0" w:firstRow="1" w:lastRow="0" w:firstColumn="1" w:lastColumn="0" w:noHBand="0" w:noVBand="1"/>
      </w:tblPr>
      <w:tblGrid>
        <w:gridCol w:w="4620"/>
        <w:gridCol w:w="1687"/>
        <w:gridCol w:w="1822"/>
        <w:gridCol w:w="1951"/>
      </w:tblGrid>
      <w:tr w:rsidR="00C24DE1" w:rsidRPr="00C41925" w14:paraId="7901E7D9" w14:textId="77777777" w:rsidTr="00E60C52">
        <w:trPr>
          <w:trHeight w:val="267"/>
          <w:jc w:val="center"/>
        </w:trPr>
        <w:tc>
          <w:tcPr>
            <w:tcW w:w="5000" w:type="pct"/>
            <w:gridSpan w:val="4"/>
            <w:shd w:val="clear" w:color="auto" w:fill="auto"/>
          </w:tcPr>
          <w:p w14:paraId="46990FDA" w14:textId="77777777" w:rsidR="00C24DE1" w:rsidRPr="00C41925" w:rsidRDefault="00C24DE1" w:rsidP="00F77447">
            <w:pPr>
              <w:jc w:val="center"/>
              <w:rPr>
                <w:rFonts w:asciiTheme="minorHAnsi" w:hAnsiTheme="minorHAnsi" w:cstheme="minorHAnsi"/>
                <w:b/>
                <w:color w:val="001A70"/>
                <w:sz w:val="21"/>
              </w:rPr>
            </w:pPr>
            <w:r w:rsidRPr="00C41925">
              <w:rPr>
                <w:rFonts w:asciiTheme="minorHAnsi" w:hAnsiTheme="minorHAnsi" w:cstheme="minorHAnsi"/>
                <w:b/>
                <w:color w:val="001A70"/>
                <w:sz w:val="21"/>
              </w:rPr>
              <w:lastRenderedPageBreak/>
              <w:t>Eating Disorder Management</w:t>
            </w:r>
          </w:p>
        </w:tc>
      </w:tr>
      <w:tr w:rsidR="00C24DE1" w:rsidRPr="00C41925" w14:paraId="25C91DB2" w14:textId="77777777" w:rsidTr="00E60C52">
        <w:trPr>
          <w:trHeight w:val="550"/>
          <w:jc w:val="center"/>
        </w:trPr>
        <w:tc>
          <w:tcPr>
            <w:tcW w:w="2291" w:type="pct"/>
            <w:shd w:val="clear" w:color="auto" w:fill="F2F2F2" w:themeFill="background1" w:themeFillShade="F2"/>
          </w:tcPr>
          <w:p w14:paraId="59285EE0" w14:textId="77777777" w:rsidR="00C24DE1" w:rsidRPr="00C41925" w:rsidRDefault="00C24DE1" w:rsidP="00F77447">
            <w:pPr>
              <w:rPr>
                <w:rFonts w:asciiTheme="minorHAnsi" w:hAnsiTheme="minorHAnsi" w:cstheme="minorHAnsi"/>
                <w:color w:val="001A70"/>
                <w:sz w:val="21"/>
              </w:rPr>
            </w:pPr>
            <w:r w:rsidRPr="00C41925">
              <w:rPr>
                <w:rFonts w:asciiTheme="minorHAnsi" w:hAnsiTheme="minorHAnsi" w:cstheme="minorHAnsi"/>
                <w:color w:val="001A70"/>
                <w:sz w:val="21"/>
              </w:rPr>
              <w:t>Clinical psychologist, eating disorders service, 30 to 50 minutes</w:t>
            </w:r>
          </w:p>
        </w:tc>
        <w:tc>
          <w:tcPr>
            <w:tcW w:w="837" w:type="pct"/>
          </w:tcPr>
          <w:p w14:paraId="7CCC98B4"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82352</w:t>
            </w:r>
          </w:p>
        </w:tc>
        <w:tc>
          <w:tcPr>
            <w:tcW w:w="904" w:type="pct"/>
          </w:tcPr>
          <w:p w14:paraId="500B2FB8"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93076</w:t>
            </w:r>
          </w:p>
        </w:tc>
        <w:tc>
          <w:tcPr>
            <w:tcW w:w="969" w:type="pct"/>
          </w:tcPr>
          <w:p w14:paraId="58328946"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93110</w:t>
            </w:r>
          </w:p>
        </w:tc>
      </w:tr>
      <w:tr w:rsidR="00C24DE1" w:rsidRPr="00C41925" w14:paraId="24CAC442" w14:textId="77777777" w:rsidTr="00E60C52">
        <w:trPr>
          <w:trHeight w:val="550"/>
          <w:jc w:val="center"/>
        </w:trPr>
        <w:tc>
          <w:tcPr>
            <w:tcW w:w="2291" w:type="pct"/>
            <w:shd w:val="clear" w:color="auto" w:fill="F2F2F2" w:themeFill="background1" w:themeFillShade="F2"/>
          </w:tcPr>
          <w:p w14:paraId="2F84F248" w14:textId="77777777" w:rsidR="00C24DE1" w:rsidRPr="00C41925" w:rsidRDefault="00C24DE1" w:rsidP="00F77447">
            <w:pPr>
              <w:rPr>
                <w:rFonts w:asciiTheme="minorHAnsi" w:hAnsiTheme="minorHAnsi" w:cstheme="minorHAnsi"/>
                <w:color w:val="001A70"/>
                <w:sz w:val="21"/>
              </w:rPr>
            </w:pPr>
            <w:r w:rsidRPr="00C41925">
              <w:rPr>
                <w:rFonts w:asciiTheme="minorHAnsi" w:hAnsiTheme="minorHAnsi" w:cstheme="minorHAnsi"/>
                <w:color w:val="001A70"/>
                <w:sz w:val="21"/>
              </w:rPr>
              <w:t>Clinical psychologist, eating disorders service, at least 50 minutes</w:t>
            </w:r>
          </w:p>
        </w:tc>
        <w:tc>
          <w:tcPr>
            <w:tcW w:w="837" w:type="pct"/>
          </w:tcPr>
          <w:p w14:paraId="1A4F8BFA"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82355</w:t>
            </w:r>
          </w:p>
        </w:tc>
        <w:tc>
          <w:tcPr>
            <w:tcW w:w="904" w:type="pct"/>
          </w:tcPr>
          <w:p w14:paraId="78B9A4CC"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93079</w:t>
            </w:r>
          </w:p>
        </w:tc>
        <w:tc>
          <w:tcPr>
            <w:tcW w:w="969" w:type="pct"/>
          </w:tcPr>
          <w:p w14:paraId="04F4220B"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93113</w:t>
            </w:r>
          </w:p>
        </w:tc>
      </w:tr>
      <w:tr w:rsidR="00C24DE1" w:rsidRPr="00C41925" w14:paraId="57898311" w14:textId="77777777" w:rsidTr="00E60C52">
        <w:trPr>
          <w:trHeight w:val="550"/>
          <w:jc w:val="center"/>
        </w:trPr>
        <w:tc>
          <w:tcPr>
            <w:tcW w:w="2291" w:type="pct"/>
            <w:shd w:val="clear" w:color="auto" w:fill="F2F2F2" w:themeFill="background1" w:themeFillShade="F2"/>
          </w:tcPr>
          <w:p w14:paraId="11D7DDAA" w14:textId="77777777" w:rsidR="00C24DE1" w:rsidRPr="00C41925" w:rsidRDefault="00C24DE1" w:rsidP="00F77447">
            <w:pPr>
              <w:rPr>
                <w:rFonts w:asciiTheme="minorHAnsi" w:hAnsiTheme="minorHAnsi" w:cstheme="minorHAnsi"/>
                <w:color w:val="001A70"/>
                <w:sz w:val="21"/>
              </w:rPr>
            </w:pPr>
            <w:r w:rsidRPr="00C41925">
              <w:rPr>
                <w:rFonts w:asciiTheme="minorHAnsi" w:hAnsiTheme="minorHAnsi" w:cstheme="minorHAnsi"/>
                <w:color w:val="001A70"/>
                <w:sz w:val="21"/>
              </w:rPr>
              <w:t>Psychologist, eating disorders service, 20 to 50 minutes</w:t>
            </w:r>
          </w:p>
        </w:tc>
        <w:tc>
          <w:tcPr>
            <w:tcW w:w="837" w:type="pct"/>
          </w:tcPr>
          <w:p w14:paraId="215F7363"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82360</w:t>
            </w:r>
          </w:p>
        </w:tc>
        <w:tc>
          <w:tcPr>
            <w:tcW w:w="904" w:type="pct"/>
          </w:tcPr>
          <w:p w14:paraId="65DA7262"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93084</w:t>
            </w:r>
          </w:p>
        </w:tc>
        <w:tc>
          <w:tcPr>
            <w:tcW w:w="969" w:type="pct"/>
          </w:tcPr>
          <w:p w14:paraId="0862F624"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93118</w:t>
            </w:r>
          </w:p>
        </w:tc>
      </w:tr>
      <w:tr w:rsidR="00C24DE1" w:rsidRPr="00C41925" w14:paraId="37E8A3FE" w14:textId="77777777" w:rsidTr="00E60C52">
        <w:trPr>
          <w:trHeight w:val="550"/>
          <w:jc w:val="center"/>
        </w:trPr>
        <w:tc>
          <w:tcPr>
            <w:tcW w:w="2291" w:type="pct"/>
            <w:shd w:val="clear" w:color="auto" w:fill="F2F2F2" w:themeFill="background1" w:themeFillShade="F2"/>
          </w:tcPr>
          <w:p w14:paraId="517601A9" w14:textId="77777777" w:rsidR="00C24DE1" w:rsidRPr="00C41925" w:rsidRDefault="00C24DE1" w:rsidP="00F77447">
            <w:pPr>
              <w:rPr>
                <w:rFonts w:asciiTheme="minorHAnsi" w:hAnsiTheme="minorHAnsi" w:cstheme="minorHAnsi"/>
                <w:color w:val="001A70"/>
                <w:sz w:val="21"/>
              </w:rPr>
            </w:pPr>
            <w:r w:rsidRPr="00C41925">
              <w:rPr>
                <w:rFonts w:asciiTheme="minorHAnsi" w:hAnsiTheme="minorHAnsi" w:cstheme="minorHAnsi"/>
                <w:color w:val="001A70"/>
                <w:sz w:val="21"/>
              </w:rPr>
              <w:t>Psychologist, eating disorders service, at least 50 minutes</w:t>
            </w:r>
          </w:p>
        </w:tc>
        <w:tc>
          <w:tcPr>
            <w:tcW w:w="837" w:type="pct"/>
          </w:tcPr>
          <w:p w14:paraId="372A8C1C"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82363</w:t>
            </w:r>
          </w:p>
        </w:tc>
        <w:tc>
          <w:tcPr>
            <w:tcW w:w="904" w:type="pct"/>
          </w:tcPr>
          <w:p w14:paraId="764DCE3C"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93087</w:t>
            </w:r>
          </w:p>
        </w:tc>
        <w:tc>
          <w:tcPr>
            <w:tcW w:w="969" w:type="pct"/>
          </w:tcPr>
          <w:p w14:paraId="21EDB941" w14:textId="77777777" w:rsidR="00C24DE1" w:rsidRPr="00C41925" w:rsidRDefault="00C24DE1" w:rsidP="00F77447">
            <w:pPr>
              <w:jc w:val="center"/>
              <w:rPr>
                <w:rFonts w:asciiTheme="minorHAnsi" w:hAnsiTheme="minorHAnsi" w:cstheme="minorHAnsi"/>
                <w:color w:val="001A70"/>
                <w:sz w:val="21"/>
              </w:rPr>
            </w:pPr>
            <w:r w:rsidRPr="00C41925">
              <w:rPr>
                <w:rFonts w:asciiTheme="minorHAnsi" w:hAnsiTheme="minorHAnsi" w:cstheme="minorHAnsi"/>
                <w:color w:val="001A70"/>
                <w:sz w:val="21"/>
              </w:rPr>
              <w:t>93121</w:t>
            </w:r>
          </w:p>
        </w:tc>
      </w:tr>
    </w:tbl>
    <w:p w14:paraId="72E815A5" w14:textId="77777777" w:rsidR="00C82D39" w:rsidRPr="00360408" w:rsidRDefault="00C82D39" w:rsidP="008F5344">
      <w:pPr>
        <w:pStyle w:val="Heading3"/>
      </w:pPr>
      <w:r>
        <w:t>Does the patient need a referral to be eligible fo</w:t>
      </w:r>
      <w:r w:rsidR="00F9517F">
        <w:t>r psychological therapy or focu</w:t>
      </w:r>
      <w:r>
        <w:t xml:space="preserve">sed psychological strategy services under the </w:t>
      </w:r>
      <w:r w:rsidR="00F9517F">
        <w:t xml:space="preserve">new temporary </w:t>
      </w:r>
      <w:r w:rsidR="004C16AD">
        <w:t xml:space="preserve">MBS </w:t>
      </w:r>
      <w:r w:rsidR="00F9517F">
        <w:t>telehealth items</w:t>
      </w:r>
      <w:r>
        <w:t>?</w:t>
      </w:r>
    </w:p>
    <w:p w14:paraId="4C935AFE" w14:textId="77777777" w:rsidR="00C82D39" w:rsidRPr="00AE5F6E" w:rsidRDefault="00C82D39" w:rsidP="00C82D39">
      <w:pPr>
        <w:pStyle w:val="ListParagraph"/>
        <w:rPr>
          <w:rFonts w:cs="Arial"/>
        </w:rPr>
      </w:pPr>
      <w:r w:rsidRPr="0061463D">
        <w:t>All MBS items for psychological therapy and focused psychological strategies attendances by allied health providers require a valid referral</w:t>
      </w:r>
      <w:r w:rsidRPr="00AE5F6E">
        <w:rPr>
          <w:rFonts w:cs="Arial"/>
        </w:rPr>
        <w:t>. A patient must be referred by:</w:t>
      </w:r>
    </w:p>
    <w:p w14:paraId="4C16AC72" w14:textId="77777777" w:rsidR="00A963D5" w:rsidRDefault="00C82D39" w:rsidP="00A963D5">
      <w:pPr>
        <w:pStyle w:val="ListParagraph"/>
        <w:numPr>
          <w:ilvl w:val="0"/>
          <w:numId w:val="14"/>
        </w:numPr>
        <w:ind w:left="709" w:hanging="425"/>
        <w:rPr>
          <w:rFonts w:cs="Arial"/>
        </w:rPr>
      </w:pPr>
      <w:r w:rsidRPr="00AE5F6E">
        <w:rPr>
          <w:rFonts w:eastAsia="Times New Roman" w:cs="Arial"/>
          <w:szCs w:val="20"/>
          <w:lang w:eastAsia="en-AU"/>
        </w:rPr>
        <w:t xml:space="preserve">a </w:t>
      </w:r>
      <w:r w:rsidRPr="00AE5F6E">
        <w:rPr>
          <w:rFonts w:cs="Arial"/>
        </w:rPr>
        <w:t>medical practitioner, either as part of a GP Mental Health Treatment Plan, or as part of a shared care plan or as part of a psychiatrist assessment and management plan; or</w:t>
      </w:r>
    </w:p>
    <w:p w14:paraId="1CE27A04" w14:textId="77777777" w:rsidR="00C82D39" w:rsidRPr="00A963D5" w:rsidRDefault="00C82D39" w:rsidP="00A963D5">
      <w:pPr>
        <w:pStyle w:val="ListParagraph"/>
        <w:numPr>
          <w:ilvl w:val="0"/>
          <w:numId w:val="14"/>
        </w:numPr>
        <w:ind w:left="709" w:hanging="425"/>
        <w:rPr>
          <w:rFonts w:cs="Arial"/>
        </w:rPr>
      </w:pPr>
      <w:r w:rsidRPr="00A963D5">
        <w:rPr>
          <w:rFonts w:cs="Arial"/>
        </w:rPr>
        <w:tab/>
        <w:t>a specialist or consultant physician specialising in the practice of his or her field of psychiatry; or</w:t>
      </w:r>
    </w:p>
    <w:p w14:paraId="376FB4CF" w14:textId="77777777" w:rsidR="00C82D39" w:rsidRPr="000D6FB9" w:rsidRDefault="00C82D39" w:rsidP="00C82D39">
      <w:pPr>
        <w:pStyle w:val="ListParagraph"/>
        <w:numPr>
          <w:ilvl w:val="0"/>
          <w:numId w:val="14"/>
        </w:numPr>
        <w:spacing w:after="120"/>
        <w:ind w:left="708" w:hanging="425"/>
        <w:rPr>
          <w:rFonts w:cs="Arial"/>
        </w:rPr>
      </w:pPr>
      <w:r w:rsidRPr="000D6FB9">
        <w:rPr>
          <w:rFonts w:cs="Arial"/>
        </w:rPr>
        <w:t>a specialist or consultant physician specialising in the practice of his or her field of paediatrics.</w:t>
      </w:r>
    </w:p>
    <w:p w14:paraId="53783C5E" w14:textId="77777777" w:rsidR="00C82D39" w:rsidRPr="0061463D" w:rsidRDefault="00C82D39" w:rsidP="00C82D39">
      <w:pPr>
        <w:pStyle w:val="ListParagraph"/>
      </w:pPr>
      <w:r w:rsidRPr="0061463D">
        <w:t xml:space="preserve">However, if the allied health provider has already received a referral that is still valid, there is no need to obtain a specific referral for the purposes of claiming the </w:t>
      </w:r>
      <w:r w:rsidR="00F66EBD">
        <w:t>new temporary MBS telehealth items</w:t>
      </w:r>
      <w:r w:rsidRPr="0061463D">
        <w:t>.</w:t>
      </w:r>
    </w:p>
    <w:p w14:paraId="46B0D3D1" w14:textId="77777777" w:rsidR="00DE5DB8" w:rsidRPr="00360408" w:rsidRDefault="002F21AA" w:rsidP="008F5344">
      <w:pPr>
        <w:pStyle w:val="Heading3"/>
      </w:pPr>
      <w:r>
        <w:t xml:space="preserve">How many </w:t>
      </w:r>
      <w:r w:rsidR="00086CFA">
        <w:t xml:space="preserve">services under the </w:t>
      </w:r>
      <w:r w:rsidR="00F9517F">
        <w:t xml:space="preserve">new temporary </w:t>
      </w:r>
      <w:r w:rsidR="005341BC">
        <w:t xml:space="preserve">MBS </w:t>
      </w:r>
      <w:r w:rsidR="00F9517F">
        <w:t>telehealth</w:t>
      </w:r>
      <w:r w:rsidR="00086CFA">
        <w:t xml:space="preserve"> items</w:t>
      </w:r>
      <w:r>
        <w:t xml:space="preserve"> can patients receive?  </w:t>
      </w:r>
    </w:p>
    <w:p w14:paraId="08BAC176" w14:textId="77777777" w:rsidR="00C82D39" w:rsidRDefault="00C82D39" w:rsidP="00C82D39">
      <w:pPr>
        <w:pStyle w:val="ListParagraph"/>
      </w:pPr>
      <w:r w:rsidRPr="0061463D">
        <w:t>A patient is eligible for up to 10 psychological therapy or focused psychological strategies services per calendar year. This includes face to face, telehealth or telephone services.</w:t>
      </w:r>
    </w:p>
    <w:p w14:paraId="7F9C78BF" w14:textId="77777777" w:rsidR="00DE5DB8" w:rsidRPr="00DE5DB8" w:rsidRDefault="00F66EBD" w:rsidP="00C812D8">
      <w:pPr>
        <w:pStyle w:val="ListParagraph"/>
      </w:pPr>
      <w:r>
        <w:t xml:space="preserve">The new temporary MBS telehealth items </w:t>
      </w:r>
      <w:r w:rsidR="003604D5">
        <w:t xml:space="preserve">are equivalent to their existing </w:t>
      </w:r>
      <w:r w:rsidR="00366B93">
        <w:t xml:space="preserve">MBS </w:t>
      </w:r>
      <w:r w:rsidR="003604D5">
        <w:t>items</w:t>
      </w:r>
      <w:r w:rsidR="00FE7897">
        <w:t>, and are not to be provided as an additional set of items</w:t>
      </w:r>
      <w:r w:rsidR="003604D5">
        <w:t xml:space="preserve">. </w:t>
      </w:r>
      <w:r w:rsidR="007B37D9">
        <w:t>If forming part of a treatment, care or management plan, a</w:t>
      </w:r>
      <w:r w:rsidR="00086CFA">
        <w:t xml:space="preserve"> p</w:t>
      </w:r>
      <w:r w:rsidR="003604D5">
        <w:t xml:space="preserve">atient is eligible for the same number of services as outlined on </w:t>
      </w:r>
      <w:r w:rsidR="007B37D9">
        <w:t xml:space="preserve">their referral and plan. </w:t>
      </w:r>
    </w:p>
    <w:p w14:paraId="30D13006" w14:textId="77777777" w:rsidR="00C82D39" w:rsidRPr="00360408" w:rsidRDefault="00C82D39" w:rsidP="008F5344">
      <w:pPr>
        <w:pStyle w:val="Heading3"/>
      </w:pPr>
      <w:r>
        <w:t xml:space="preserve">How do the </w:t>
      </w:r>
      <w:r w:rsidR="00F66EBD">
        <w:t xml:space="preserve">new temporary MBS telehealth items </w:t>
      </w:r>
      <w:r>
        <w:t>differ from current Better Access arrangements?</w:t>
      </w:r>
    </w:p>
    <w:p w14:paraId="642C1ABD" w14:textId="77777777" w:rsidR="00C82D39" w:rsidRDefault="00C82D39" w:rsidP="00C82D39">
      <w:pPr>
        <w:pStyle w:val="ListParagraph"/>
      </w:pPr>
      <w:r>
        <w:t>Unlike existing telehealth items, there are no location restrictions for patients.</w:t>
      </w:r>
    </w:p>
    <w:p w14:paraId="0B0AA638" w14:textId="77777777" w:rsidR="00C82D39" w:rsidRDefault="00F66EBD" w:rsidP="00C82D39">
      <w:pPr>
        <w:pStyle w:val="ListParagraph"/>
      </w:pPr>
      <w:r>
        <w:t>The new temporary MBS telehealth items</w:t>
      </w:r>
      <w:r w:rsidR="00C82D39" w:rsidRPr="00531A66">
        <w:t xml:space="preserve"> </w:t>
      </w:r>
      <w:r>
        <w:t xml:space="preserve">for </w:t>
      </w:r>
      <w:r w:rsidR="00C82D39" w:rsidRPr="00531A66">
        <w:t xml:space="preserve">psychological therapy </w:t>
      </w:r>
      <w:r w:rsidR="00C82D39">
        <w:t>and</w:t>
      </w:r>
      <w:r w:rsidR="00C82D39" w:rsidRPr="00531A66">
        <w:t xml:space="preserve"> focused psychological strategies are similar in that they provide rebates for up to ten individual mental health therapy sessions in a calendar year to patients with an assessed mental disorder </w:t>
      </w:r>
      <w:r w:rsidR="00C82D39">
        <w:t>and a valid referral.</w:t>
      </w:r>
    </w:p>
    <w:p w14:paraId="329778DA" w14:textId="77777777" w:rsidR="00C82D39" w:rsidRDefault="00C82D39" w:rsidP="00C82D39">
      <w:pPr>
        <w:pStyle w:val="ListParagraph"/>
      </w:pPr>
      <w:r w:rsidRPr="00531A66">
        <w:t>The ten individual services may consist of focused psychological strategies, psychological therapy services (provided by a clinical psychologist), and/or focused psychological strategies provided by an eligible health practitioner.</w:t>
      </w:r>
    </w:p>
    <w:p w14:paraId="78041A1C" w14:textId="77777777" w:rsidR="00D828DF" w:rsidRDefault="00D828DF" w:rsidP="00D828DF">
      <w:pPr>
        <w:pStyle w:val="Heading3"/>
      </w:pPr>
      <w:r>
        <w:lastRenderedPageBreak/>
        <w:t xml:space="preserve">Am I insured to provide MBS telehealth services? </w:t>
      </w:r>
    </w:p>
    <w:p w14:paraId="506A98FC" w14:textId="77777777" w:rsidR="00D828DF" w:rsidRDefault="00D828DF" w:rsidP="00D828DF">
      <w:pPr>
        <w:pStyle w:val="ListParagraph"/>
      </w:pPr>
      <w:r>
        <w:t xml:space="preserve">You will need to confirm with your professional indemnity insurance provider as to whether you are covered to provide telehealth services. Services must be provided within the professional’s scope of practice, and in accordance with all other professional responsibilities. </w:t>
      </w:r>
    </w:p>
    <w:p w14:paraId="247BDC48" w14:textId="77777777" w:rsidR="00623C05" w:rsidRDefault="00EE1791" w:rsidP="00623C05">
      <w:pPr>
        <w:rPr>
          <w:rStyle w:val="BookTitle"/>
        </w:rPr>
      </w:pPr>
      <w:r>
        <w:rPr>
          <w:rStyle w:val="BookTitle"/>
          <w:noProof/>
        </w:rPr>
        <w:pict w14:anchorId="3C9A0AC8">
          <v:rect id="_x0000_i1025" alt="" style="width:523.3pt;height:.05pt;mso-width-percent:0;mso-height-percent:0;mso-width-percent:0;mso-height-percent:0" o:hralign="center" o:hrstd="t" o:hr="t" fillcolor="#a0a0a0" stroked="f"/>
        </w:pict>
      </w:r>
    </w:p>
    <w:p w14:paraId="3EBE7CBD" w14:textId="77777777" w:rsidR="00623C05" w:rsidRPr="00025CFF" w:rsidRDefault="00623C05" w:rsidP="00623C05">
      <w:pPr>
        <w:pStyle w:val="Heading2"/>
      </w:pPr>
      <w:r>
        <w:t>Further Information</w:t>
      </w:r>
    </w:p>
    <w:p w14:paraId="2CC43C8C" w14:textId="77777777" w:rsidR="008711A6" w:rsidRPr="0053393B" w:rsidRDefault="008711A6" w:rsidP="008711A6">
      <w:pPr>
        <w:spacing w:line="276" w:lineRule="auto"/>
      </w:pPr>
      <w:r w:rsidRPr="0053393B">
        <w:t xml:space="preserve">COVID-19 National Health Plan resources for the general public, health professionals and industry are available from the </w:t>
      </w:r>
      <w:hyperlink r:id="rId13" w:history="1">
        <w:r w:rsidRPr="0053393B">
          <w:rPr>
            <w:rStyle w:val="Hyperlink"/>
          </w:rPr>
          <w:t>Australian Government Department of Health website</w:t>
        </w:r>
      </w:hyperlink>
      <w:r w:rsidRPr="0053393B">
        <w:t>.</w:t>
      </w:r>
    </w:p>
    <w:p w14:paraId="7F53912F" w14:textId="77777777" w:rsidR="008711A6" w:rsidRPr="0053393B" w:rsidRDefault="008711A6" w:rsidP="008711A6">
      <w:pPr>
        <w:spacing w:line="276" w:lineRule="auto"/>
      </w:pPr>
      <w:r w:rsidRPr="0053393B">
        <w:t xml:space="preserve">The full item descriptors and information on other changes to the MBS can be found on the MBS Online website at </w:t>
      </w:r>
      <w:hyperlink r:id="rId14" w:history="1">
        <w:r w:rsidRPr="0053393B">
          <w:rPr>
            <w:rStyle w:val="Hyperlink"/>
          </w:rPr>
          <w:t>www.mbsonline.gov.au</w:t>
        </w:r>
      </w:hyperlink>
      <w:r w:rsidRPr="0053393B">
        <w:rPr>
          <w:rStyle w:val="Hyperlink"/>
        </w:rPr>
        <w:t>.</w:t>
      </w:r>
      <w:r w:rsidRPr="0053393B">
        <w:t xml:space="preserve"> You can also subscribe to future MBS updates by visiting </w:t>
      </w:r>
      <w:hyperlink r:id="rId15" w:history="1">
        <w:r w:rsidRPr="0053393B">
          <w:rPr>
            <w:rStyle w:val="Hyperlink"/>
          </w:rPr>
          <w:t>MBS Online</w:t>
        </w:r>
      </w:hyperlink>
      <w:r w:rsidRPr="0053393B">
        <w:t xml:space="preserve"> and clicking ‘Subscribe’. </w:t>
      </w:r>
    </w:p>
    <w:p w14:paraId="43F5BF78" w14:textId="77777777" w:rsidR="008711A6" w:rsidRPr="0053393B" w:rsidRDefault="008711A6" w:rsidP="008711A6">
      <w:r w:rsidRPr="0053393B">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6" w:history="1">
        <w:r w:rsidRPr="0053393B">
          <w:rPr>
            <w:rStyle w:val="Hyperlink"/>
          </w:rPr>
          <w:t>askMBS@health.gov.au</w:t>
        </w:r>
      </w:hyperlink>
      <w:r w:rsidRPr="0053393B">
        <w:t>.</w:t>
      </w:r>
    </w:p>
    <w:p w14:paraId="45BF4120" w14:textId="77777777" w:rsidR="008711A6" w:rsidRPr="0053393B" w:rsidRDefault="008711A6" w:rsidP="008711A6">
      <w:r w:rsidRPr="0053393B">
        <w:t>Subscribe to ‘</w:t>
      </w:r>
      <w:hyperlink r:id="rId17" w:history="1">
        <w:r w:rsidRPr="0053393B">
          <w:rPr>
            <w:rStyle w:val="Hyperlink"/>
          </w:rPr>
          <w:t>News for Health Professionals</w:t>
        </w:r>
      </w:hyperlink>
      <w:r w:rsidRPr="0053393B">
        <w:t>’ on the Services Australia website and you will receive regular news highlights.</w:t>
      </w:r>
    </w:p>
    <w:p w14:paraId="55323CFE" w14:textId="77777777" w:rsidR="008711A6" w:rsidRPr="0053393B" w:rsidRDefault="008711A6" w:rsidP="008711A6">
      <w:pPr>
        <w:spacing w:line="276" w:lineRule="auto"/>
      </w:pPr>
      <w:r w:rsidRPr="0053393B">
        <w:t xml:space="preserve">If you are seeking advice in relation to Medicare billing, claiming, payments, or obtaining a provider number, please </w:t>
      </w:r>
      <w:bookmarkStart w:id="2" w:name="_Hlk7773414"/>
      <w:r w:rsidRPr="0053393B">
        <w:t xml:space="preserve">go to the Health Professionals page on the Services Australia website or </w:t>
      </w:r>
      <w:bookmarkEnd w:id="2"/>
      <w:r w:rsidRPr="0053393B">
        <w:t xml:space="preserve">contact Services Australia on the Provider Enquiry Line – 13 21 50. </w:t>
      </w:r>
    </w:p>
    <w:p w14:paraId="035ACA59" w14:textId="77777777" w:rsidR="008711A6" w:rsidRPr="0053393B" w:rsidRDefault="008711A6" w:rsidP="008711A6"/>
    <w:p w14:paraId="4D11654A" w14:textId="77777777" w:rsidR="008711A6" w:rsidRPr="0053393B" w:rsidRDefault="008711A6" w:rsidP="008711A6">
      <w:pPr>
        <w:pStyle w:val="Disclaimer"/>
      </w:pPr>
      <w:r w:rsidRPr="0053393B">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F67A120" w14:textId="77777777" w:rsidR="008711A6" w:rsidRDefault="008711A6" w:rsidP="008711A6">
      <w:pPr>
        <w:pStyle w:val="Disclaimer"/>
      </w:pPr>
      <w:r w:rsidRPr="0053393B">
        <w:t>This sheet is current as of the Last updated date shown above, and does not account for MBS changes since that date.</w:t>
      </w:r>
    </w:p>
    <w:p w14:paraId="359D08EA" w14:textId="77777777" w:rsidR="00623C05" w:rsidRDefault="00623C05" w:rsidP="00623C05"/>
    <w:sectPr w:rsidR="00623C05" w:rsidSect="000A00B9">
      <w:headerReference w:type="default" r:id="rId18"/>
      <w:footerReference w:type="default" r:id="rId19"/>
      <w:type w:val="continuous"/>
      <w:pgSz w:w="11906" w:h="16838"/>
      <w:pgMar w:top="289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04DC7" w14:textId="77777777" w:rsidR="00EE1791" w:rsidRDefault="00EE1791" w:rsidP="009111BD">
      <w:r>
        <w:separator/>
      </w:r>
    </w:p>
  </w:endnote>
  <w:endnote w:type="continuationSeparator" w:id="0">
    <w:p w14:paraId="5C6347D3" w14:textId="77777777" w:rsidR="00EE1791" w:rsidRDefault="00EE1791" w:rsidP="0091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Book">
    <w:panose1 w:val="020B0604020202020204"/>
    <w:charset w:val="00"/>
    <w:family w:val="modern"/>
    <w:notTrueType/>
    <w:pitch w:val="variable"/>
    <w:sig w:usb0="A10000FF" w:usb1="4000005B" w:usb2="00000000" w:usb3="00000000" w:csb0="0000009B"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37B7" w14:textId="77777777" w:rsidR="00F546CA" w:rsidRDefault="00EE1791">
    <w:pPr>
      <w:pStyle w:val="Footer"/>
    </w:pPr>
    <w:r>
      <w:rPr>
        <w:rStyle w:val="BookTitle"/>
        <w:noProof/>
      </w:rPr>
      <w:pict w14:anchorId="32AD7974">
        <v:rect id="_x0000_i1027" alt="" style="width:523.3pt;height:1.6pt;mso-width-percent:0;mso-height-percent:0;mso-width-percent:0;mso-height-percent:0" o:hralign="center" o:hrstd="t" o:hr="t" fillcolor="#a0a0a0" stroked="f"/>
      </w:pict>
    </w:r>
    <w:r w:rsidR="00F546CA">
      <w:t>Medicare Benefits Schedule</w:t>
    </w:r>
  </w:p>
  <w:p w14:paraId="6BD92272" w14:textId="77777777" w:rsidR="00F546CA" w:rsidRDefault="00F51F23" w:rsidP="008B3C98">
    <w:pPr>
      <w:pStyle w:val="Footer"/>
      <w:tabs>
        <w:tab w:val="clear" w:pos="9026"/>
        <w:tab w:val="right" w:pos="10466"/>
      </w:tabs>
    </w:pPr>
    <w:r>
      <w:rPr>
        <w:b/>
      </w:rPr>
      <w:t xml:space="preserve">Temporary </w:t>
    </w:r>
    <w:r w:rsidR="008B7FB7">
      <w:rPr>
        <w:b/>
      </w:rPr>
      <w:t xml:space="preserve">COVID-19 </w:t>
    </w:r>
    <w:r>
      <w:rPr>
        <w:b/>
      </w:rPr>
      <w:t>MBS</w:t>
    </w:r>
    <w:r w:rsidR="008B7FB7">
      <w:rPr>
        <w:b/>
      </w:rPr>
      <w:t xml:space="preserve"> Telehealth Services</w:t>
    </w:r>
    <w:r w:rsidR="00F546CA" w:rsidRPr="00E863C4">
      <w:rPr>
        <w:b/>
      </w:rPr>
      <w:t xml:space="preserve"> – </w:t>
    </w:r>
    <w:r w:rsidR="00765D45">
      <w:rPr>
        <w:b/>
      </w:rPr>
      <w:t>FAQs</w:t>
    </w:r>
    <w:r w:rsidR="00F546CA" w:rsidRPr="00E863C4">
      <w:t xml:space="preserve"> </w:t>
    </w:r>
    <w:sdt>
      <w:sdtPr>
        <w:id w:val="-1733147854"/>
        <w:docPartObj>
          <w:docPartGallery w:val="Page Numbers (Bottom of Page)"/>
          <w:docPartUnique/>
        </w:docPartObj>
      </w:sdtPr>
      <w:sdtEndPr>
        <w:rPr>
          <w:noProof/>
        </w:rPr>
      </w:sdtEndPr>
      <w:sdtContent>
        <w:r w:rsidR="00F546CA">
          <w:tab/>
        </w:r>
        <w:r w:rsidR="00F546CA">
          <w:tab/>
        </w:r>
        <w:sdt>
          <w:sdtPr>
            <w:id w:val="1802883624"/>
            <w:docPartObj>
              <w:docPartGallery w:val="Page Numbers (Bottom of Page)"/>
              <w:docPartUnique/>
            </w:docPartObj>
          </w:sdtPr>
          <w:sdtEndPr/>
          <w:sdtContent>
            <w:sdt>
              <w:sdtPr>
                <w:id w:val="-1769616900"/>
                <w:docPartObj>
                  <w:docPartGallery w:val="Page Numbers (Top of Page)"/>
                  <w:docPartUnique/>
                </w:docPartObj>
              </w:sdtPr>
              <w:sdtEndPr/>
              <w:sdtContent>
                <w:r w:rsidR="00F546CA" w:rsidRPr="00F546CA">
                  <w:t xml:space="preserve">Page </w:t>
                </w:r>
                <w:r w:rsidR="00F546CA" w:rsidRPr="00F546CA">
                  <w:rPr>
                    <w:bCs/>
                    <w:sz w:val="24"/>
                    <w:szCs w:val="24"/>
                  </w:rPr>
                  <w:fldChar w:fldCharType="begin"/>
                </w:r>
                <w:r w:rsidR="00F546CA" w:rsidRPr="00F546CA">
                  <w:rPr>
                    <w:bCs/>
                  </w:rPr>
                  <w:instrText xml:space="preserve"> PAGE </w:instrText>
                </w:r>
                <w:r w:rsidR="00F546CA" w:rsidRPr="00F546CA">
                  <w:rPr>
                    <w:bCs/>
                    <w:sz w:val="24"/>
                    <w:szCs w:val="24"/>
                  </w:rPr>
                  <w:fldChar w:fldCharType="separate"/>
                </w:r>
                <w:r w:rsidR="00E46099">
                  <w:rPr>
                    <w:bCs/>
                    <w:noProof/>
                  </w:rPr>
                  <w:t>4</w:t>
                </w:r>
                <w:r w:rsidR="00F546CA" w:rsidRPr="00F546CA">
                  <w:rPr>
                    <w:bCs/>
                    <w:sz w:val="24"/>
                    <w:szCs w:val="24"/>
                  </w:rPr>
                  <w:fldChar w:fldCharType="end"/>
                </w:r>
                <w:r w:rsidR="00F546CA" w:rsidRPr="00F546CA">
                  <w:t xml:space="preserve"> of </w:t>
                </w:r>
                <w:r w:rsidR="00F546CA" w:rsidRPr="00F546CA">
                  <w:rPr>
                    <w:bCs/>
                    <w:sz w:val="24"/>
                    <w:szCs w:val="24"/>
                  </w:rPr>
                  <w:fldChar w:fldCharType="begin"/>
                </w:r>
                <w:r w:rsidR="00F546CA" w:rsidRPr="00F546CA">
                  <w:rPr>
                    <w:bCs/>
                  </w:rPr>
                  <w:instrText xml:space="preserve"> NUMPAGES  </w:instrText>
                </w:r>
                <w:r w:rsidR="00F546CA" w:rsidRPr="00F546CA">
                  <w:rPr>
                    <w:bCs/>
                    <w:sz w:val="24"/>
                    <w:szCs w:val="24"/>
                  </w:rPr>
                  <w:fldChar w:fldCharType="separate"/>
                </w:r>
                <w:r w:rsidR="00E46099">
                  <w:rPr>
                    <w:bCs/>
                    <w:noProof/>
                  </w:rPr>
                  <w:t>4</w:t>
                </w:r>
                <w:r w:rsidR="00F546CA" w:rsidRPr="00F546CA">
                  <w:rPr>
                    <w:bCs/>
                    <w:sz w:val="24"/>
                    <w:szCs w:val="24"/>
                  </w:rPr>
                  <w:fldChar w:fldCharType="end"/>
                </w:r>
              </w:sdtContent>
            </w:sdt>
          </w:sdtContent>
        </w:sdt>
      </w:sdtContent>
    </w:sdt>
  </w:p>
  <w:p w14:paraId="040B6DBF" w14:textId="77777777" w:rsidR="00B83C75" w:rsidRDefault="00EE1791">
    <w:pPr>
      <w:pStyle w:val="Footer"/>
      <w:rPr>
        <w:rStyle w:val="Hyperlink"/>
        <w:szCs w:val="18"/>
      </w:rPr>
    </w:pPr>
    <w:hyperlink r:id="rId1" w:history="1">
      <w:r w:rsidR="00F546CA" w:rsidRPr="00E863C4">
        <w:rPr>
          <w:rStyle w:val="Hyperlink"/>
          <w:szCs w:val="18"/>
        </w:rPr>
        <w:t>MBS Online</w:t>
      </w:r>
    </w:hyperlink>
  </w:p>
  <w:p w14:paraId="457DF574" w14:textId="77777777" w:rsidR="00A059D1" w:rsidRPr="00A059D1" w:rsidRDefault="00A059D1">
    <w:pPr>
      <w:pStyle w:val="Footer"/>
    </w:pPr>
    <w:r>
      <w:t xml:space="preserve">Last updated – </w:t>
    </w:r>
    <w:r w:rsidR="00234CDA">
      <w:t>20</w:t>
    </w:r>
    <w:r w:rsidR="008B7FB7">
      <w:t xml:space="preserve"> </w:t>
    </w:r>
    <w:r w:rsidR="00774A19">
      <w:t>April</w:t>
    </w:r>
    <w:r w:rsidR="008B7FB7">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3C9DE" w14:textId="77777777" w:rsidR="00EE1791" w:rsidRDefault="00EE1791" w:rsidP="00C812D8">
      <w:r>
        <w:separator/>
      </w:r>
    </w:p>
  </w:footnote>
  <w:footnote w:type="continuationSeparator" w:id="0">
    <w:p w14:paraId="6410130C" w14:textId="77777777" w:rsidR="00EE1791" w:rsidRDefault="00EE1791" w:rsidP="00C8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EFEC" w14:textId="77777777" w:rsidR="006D1088" w:rsidRDefault="00823C9E">
    <w:pPr>
      <w:pStyle w:val="Header"/>
    </w:pPr>
    <w:r w:rsidRPr="00113A85">
      <w:rPr>
        <w:noProof/>
        <w:lang w:eastAsia="en-AU"/>
      </w:rPr>
      <mc:AlternateContent>
        <mc:Choice Requires="wps">
          <w:drawing>
            <wp:anchor distT="0" distB="0" distL="114300" distR="114300" simplePos="0" relativeHeight="251660288" behindDoc="0" locked="0" layoutInCell="1" allowOverlap="1" wp14:anchorId="7B3698DE" wp14:editId="7893785A">
              <wp:simplePos x="0" y="0"/>
              <wp:positionH relativeFrom="column">
                <wp:align>right</wp:align>
              </wp:positionH>
              <wp:positionV relativeFrom="paragraph">
                <wp:posOffset>-288646</wp:posOffset>
              </wp:positionV>
              <wp:extent cx="31248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24800" cy="1285200"/>
                      </a:xfrm>
                      <a:prstGeom prst="rect">
                        <a:avLst/>
                      </a:prstGeom>
                    </wps:spPr>
                    <wps:txbx>
                      <w:txbxContent>
                        <w:p w14:paraId="15BDDBC1" w14:textId="77777777"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057C3021" id="Title 3" o:spid="_x0000_s1026" style="position:absolute;margin-left:194.85pt;margin-top:-22.75pt;width:246.0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" filled="f" stroked="f">
              <v:path arrowok="t"/>
              <o:lock v:ext="edit" grouping="t"/>
              <v:textbox>
                <w:txbxContent>
                  <w:p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4C7D10B4" wp14:editId="74F6948A">
          <wp:simplePos x="0" y="0"/>
          <wp:positionH relativeFrom="page">
            <wp:align>left</wp:align>
          </wp:positionH>
          <wp:positionV relativeFrom="paragraph">
            <wp:posOffset>-449580</wp:posOffset>
          </wp:positionV>
          <wp:extent cx="7643250" cy="161121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202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8A2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AB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62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28D1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0F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21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4EC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F46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E62D3"/>
    <w:multiLevelType w:val="hybridMultilevel"/>
    <w:tmpl w:val="F6748744"/>
    <w:lvl w:ilvl="0" w:tplc="B2F608B2">
      <w:start w:val="1"/>
      <w:numFmt w:val="lowerRoman"/>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911DCA"/>
    <w:multiLevelType w:val="hybridMultilevel"/>
    <w:tmpl w:val="26F63246"/>
    <w:lvl w:ilvl="0" w:tplc="04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9E35A91"/>
    <w:multiLevelType w:val="hybridMultilevel"/>
    <w:tmpl w:val="A9B86440"/>
    <w:lvl w:ilvl="0" w:tplc="57E204F2">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9BC50A2"/>
    <w:multiLevelType w:val="hybridMultilevel"/>
    <w:tmpl w:val="574EC2F6"/>
    <w:lvl w:ilvl="0" w:tplc="F6B4FC8E">
      <w:start w:val="1"/>
      <w:numFmt w:val="bullet"/>
      <w:lvlText w:val=""/>
      <w:lvlJc w:val="left"/>
      <w:pPr>
        <w:ind w:left="720" w:hanging="360"/>
      </w:pPr>
      <w:rPr>
        <w:rFonts w:ascii="Symbol" w:hAnsi="Symbol" w:hint="default"/>
        <w:color w:val="1172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CB639D"/>
    <w:multiLevelType w:val="hybridMultilevel"/>
    <w:tmpl w:val="8A74E4F0"/>
    <w:lvl w:ilvl="0" w:tplc="06F2C5F0">
      <w:start w:val="1"/>
      <w:numFmt w:val="bullet"/>
      <w:lvlText w:val=""/>
      <w:lvlJc w:val="left"/>
      <w:pPr>
        <w:ind w:left="360" w:hanging="360"/>
      </w:pPr>
      <w:rPr>
        <w:rFonts w:ascii="Symbol" w:hAnsi="Symbol" w:hint="default"/>
        <w:color w:val="597537" w:themeColor="accent2" w:themeShade="BF"/>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7644C4"/>
    <w:multiLevelType w:val="hybridMultilevel"/>
    <w:tmpl w:val="95E4D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C7780E"/>
    <w:multiLevelType w:val="hybridMultilevel"/>
    <w:tmpl w:val="01821834"/>
    <w:lvl w:ilvl="0" w:tplc="99724988">
      <w:numFmt w:val="bullet"/>
      <w:lvlText w:val="-"/>
      <w:lvlJc w:val="left"/>
      <w:pPr>
        <w:ind w:left="1080" w:hanging="360"/>
      </w:pPr>
      <w:rPr>
        <w:rFonts w:ascii="Calibri" w:eastAsiaTheme="minorHAnsi" w:hAnsi="Calibri" w:cs="Calibr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6"/>
  </w:num>
  <w:num w:numId="17">
    <w:abstractNumId w:val="12"/>
  </w:num>
  <w:num w:numId="18">
    <w:abstractNumId w:val="15"/>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1C"/>
    <w:rsid w:val="0001180D"/>
    <w:rsid w:val="0001518B"/>
    <w:rsid w:val="00017C73"/>
    <w:rsid w:val="000267EF"/>
    <w:rsid w:val="00035D0B"/>
    <w:rsid w:val="00035E7D"/>
    <w:rsid w:val="00045810"/>
    <w:rsid w:val="00066C04"/>
    <w:rsid w:val="00077A50"/>
    <w:rsid w:val="00083216"/>
    <w:rsid w:val="00086CFA"/>
    <w:rsid w:val="00097312"/>
    <w:rsid w:val="000A00B9"/>
    <w:rsid w:val="000B01AE"/>
    <w:rsid w:val="000B4C5D"/>
    <w:rsid w:val="000C2143"/>
    <w:rsid w:val="000C2EB2"/>
    <w:rsid w:val="000C3438"/>
    <w:rsid w:val="000C722F"/>
    <w:rsid w:val="000D1778"/>
    <w:rsid w:val="001072B5"/>
    <w:rsid w:val="00107655"/>
    <w:rsid w:val="0011768B"/>
    <w:rsid w:val="001177E4"/>
    <w:rsid w:val="00121100"/>
    <w:rsid w:val="00124E0B"/>
    <w:rsid w:val="00132B6A"/>
    <w:rsid w:val="00135417"/>
    <w:rsid w:val="001432AF"/>
    <w:rsid w:val="00155BD4"/>
    <w:rsid w:val="0017279A"/>
    <w:rsid w:val="00173AE4"/>
    <w:rsid w:val="00181B52"/>
    <w:rsid w:val="0018569E"/>
    <w:rsid w:val="0019170A"/>
    <w:rsid w:val="001A11D9"/>
    <w:rsid w:val="001A61B5"/>
    <w:rsid w:val="001A7FB7"/>
    <w:rsid w:val="001B0B09"/>
    <w:rsid w:val="001B31D3"/>
    <w:rsid w:val="001B6250"/>
    <w:rsid w:val="001F1742"/>
    <w:rsid w:val="001F49E8"/>
    <w:rsid w:val="00200160"/>
    <w:rsid w:val="00200902"/>
    <w:rsid w:val="00201B0C"/>
    <w:rsid w:val="00203F3E"/>
    <w:rsid w:val="00214B52"/>
    <w:rsid w:val="00215118"/>
    <w:rsid w:val="00217AD2"/>
    <w:rsid w:val="0022624C"/>
    <w:rsid w:val="00234CDA"/>
    <w:rsid w:val="002477CE"/>
    <w:rsid w:val="0026383C"/>
    <w:rsid w:val="0026502E"/>
    <w:rsid w:val="00281DC6"/>
    <w:rsid w:val="002A3C7C"/>
    <w:rsid w:val="002A5A70"/>
    <w:rsid w:val="002C035D"/>
    <w:rsid w:val="002D3621"/>
    <w:rsid w:val="002E3484"/>
    <w:rsid w:val="002F0904"/>
    <w:rsid w:val="002F21AA"/>
    <w:rsid w:val="002F4588"/>
    <w:rsid w:val="003376C6"/>
    <w:rsid w:val="00352174"/>
    <w:rsid w:val="00360408"/>
    <w:rsid w:val="003604D5"/>
    <w:rsid w:val="00363819"/>
    <w:rsid w:val="00366B93"/>
    <w:rsid w:val="00374AE3"/>
    <w:rsid w:val="00385BB5"/>
    <w:rsid w:val="0039197F"/>
    <w:rsid w:val="003B56AD"/>
    <w:rsid w:val="003D300C"/>
    <w:rsid w:val="003D5CEF"/>
    <w:rsid w:val="003E0945"/>
    <w:rsid w:val="003E601E"/>
    <w:rsid w:val="003E6457"/>
    <w:rsid w:val="00420AE2"/>
    <w:rsid w:val="00425089"/>
    <w:rsid w:val="00427D7F"/>
    <w:rsid w:val="004320F4"/>
    <w:rsid w:val="004324B6"/>
    <w:rsid w:val="0043744D"/>
    <w:rsid w:val="00445086"/>
    <w:rsid w:val="00445114"/>
    <w:rsid w:val="00460ACF"/>
    <w:rsid w:val="00461212"/>
    <w:rsid w:val="00463F3C"/>
    <w:rsid w:val="00474EE8"/>
    <w:rsid w:val="00494B72"/>
    <w:rsid w:val="004A1348"/>
    <w:rsid w:val="004A6C05"/>
    <w:rsid w:val="004B243F"/>
    <w:rsid w:val="004B401F"/>
    <w:rsid w:val="004B5810"/>
    <w:rsid w:val="004C16AD"/>
    <w:rsid w:val="004D1ABB"/>
    <w:rsid w:val="004D2C7C"/>
    <w:rsid w:val="004D71C4"/>
    <w:rsid w:val="004E2804"/>
    <w:rsid w:val="004E3F35"/>
    <w:rsid w:val="004E52A2"/>
    <w:rsid w:val="004F0AA6"/>
    <w:rsid w:val="0051192B"/>
    <w:rsid w:val="00520C88"/>
    <w:rsid w:val="005261D0"/>
    <w:rsid w:val="0053393B"/>
    <w:rsid w:val="005341BC"/>
    <w:rsid w:val="005363ED"/>
    <w:rsid w:val="0054242B"/>
    <w:rsid w:val="00542F07"/>
    <w:rsid w:val="00550525"/>
    <w:rsid w:val="0056074F"/>
    <w:rsid w:val="005626FA"/>
    <w:rsid w:val="00565D3C"/>
    <w:rsid w:val="0059023F"/>
    <w:rsid w:val="00595BBD"/>
    <w:rsid w:val="005D0893"/>
    <w:rsid w:val="006173AC"/>
    <w:rsid w:val="0062100F"/>
    <w:rsid w:val="00623C05"/>
    <w:rsid w:val="00626B59"/>
    <w:rsid w:val="00634880"/>
    <w:rsid w:val="00655D74"/>
    <w:rsid w:val="00684D37"/>
    <w:rsid w:val="0069651E"/>
    <w:rsid w:val="006B38C2"/>
    <w:rsid w:val="006B495E"/>
    <w:rsid w:val="006C3849"/>
    <w:rsid w:val="006D04CC"/>
    <w:rsid w:val="006D1088"/>
    <w:rsid w:val="006D1D15"/>
    <w:rsid w:val="006D1EAA"/>
    <w:rsid w:val="006D775E"/>
    <w:rsid w:val="006F117C"/>
    <w:rsid w:val="006F549A"/>
    <w:rsid w:val="006F5785"/>
    <w:rsid w:val="00713E99"/>
    <w:rsid w:val="0071729D"/>
    <w:rsid w:val="00726103"/>
    <w:rsid w:val="007354A6"/>
    <w:rsid w:val="00736D31"/>
    <w:rsid w:val="0076373A"/>
    <w:rsid w:val="00765A2C"/>
    <w:rsid w:val="00765D45"/>
    <w:rsid w:val="00774A19"/>
    <w:rsid w:val="00792AF9"/>
    <w:rsid w:val="007B37D9"/>
    <w:rsid w:val="007B6DBE"/>
    <w:rsid w:val="007D1D3A"/>
    <w:rsid w:val="007D6421"/>
    <w:rsid w:val="007E1C30"/>
    <w:rsid w:val="0081272B"/>
    <w:rsid w:val="00817F6C"/>
    <w:rsid w:val="00823C9E"/>
    <w:rsid w:val="0082584A"/>
    <w:rsid w:val="008352AC"/>
    <w:rsid w:val="00852651"/>
    <w:rsid w:val="008711A6"/>
    <w:rsid w:val="00881219"/>
    <w:rsid w:val="008942B5"/>
    <w:rsid w:val="008957B9"/>
    <w:rsid w:val="00897E26"/>
    <w:rsid w:val="008B3C98"/>
    <w:rsid w:val="008B7FB7"/>
    <w:rsid w:val="008E6A83"/>
    <w:rsid w:val="008F1594"/>
    <w:rsid w:val="008F4B45"/>
    <w:rsid w:val="008F5344"/>
    <w:rsid w:val="009000AA"/>
    <w:rsid w:val="00907B4A"/>
    <w:rsid w:val="009111BD"/>
    <w:rsid w:val="00942A31"/>
    <w:rsid w:val="009562F4"/>
    <w:rsid w:val="00957925"/>
    <w:rsid w:val="009705CD"/>
    <w:rsid w:val="00971D9E"/>
    <w:rsid w:val="00976493"/>
    <w:rsid w:val="009A3986"/>
    <w:rsid w:val="009A4DE8"/>
    <w:rsid w:val="009B51E7"/>
    <w:rsid w:val="009D0B98"/>
    <w:rsid w:val="009D6523"/>
    <w:rsid w:val="009E66EE"/>
    <w:rsid w:val="009E6DE2"/>
    <w:rsid w:val="009E7E6A"/>
    <w:rsid w:val="00A059D1"/>
    <w:rsid w:val="00A24721"/>
    <w:rsid w:val="00A368AC"/>
    <w:rsid w:val="00A37CE3"/>
    <w:rsid w:val="00A44A12"/>
    <w:rsid w:val="00A52314"/>
    <w:rsid w:val="00A64177"/>
    <w:rsid w:val="00A66A40"/>
    <w:rsid w:val="00A7172E"/>
    <w:rsid w:val="00A91196"/>
    <w:rsid w:val="00A963D5"/>
    <w:rsid w:val="00AA41CD"/>
    <w:rsid w:val="00AA5232"/>
    <w:rsid w:val="00AB0197"/>
    <w:rsid w:val="00AC021C"/>
    <w:rsid w:val="00AE5266"/>
    <w:rsid w:val="00AF5BED"/>
    <w:rsid w:val="00AF5CDD"/>
    <w:rsid w:val="00AF701F"/>
    <w:rsid w:val="00B15CE8"/>
    <w:rsid w:val="00B23662"/>
    <w:rsid w:val="00B23A4C"/>
    <w:rsid w:val="00B31FBA"/>
    <w:rsid w:val="00B3594C"/>
    <w:rsid w:val="00B83C75"/>
    <w:rsid w:val="00B83E3D"/>
    <w:rsid w:val="00B83E91"/>
    <w:rsid w:val="00B90DB5"/>
    <w:rsid w:val="00B93C7E"/>
    <w:rsid w:val="00BA1B9D"/>
    <w:rsid w:val="00BB25DE"/>
    <w:rsid w:val="00BC50C1"/>
    <w:rsid w:val="00BD1C20"/>
    <w:rsid w:val="00BD615D"/>
    <w:rsid w:val="00BE394B"/>
    <w:rsid w:val="00BF00A9"/>
    <w:rsid w:val="00BF426F"/>
    <w:rsid w:val="00C11326"/>
    <w:rsid w:val="00C11532"/>
    <w:rsid w:val="00C24DE1"/>
    <w:rsid w:val="00C30874"/>
    <w:rsid w:val="00C4019B"/>
    <w:rsid w:val="00C41925"/>
    <w:rsid w:val="00C66190"/>
    <w:rsid w:val="00C67F3A"/>
    <w:rsid w:val="00C812D8"/>
    <w:rsid w:val="00C82D39"/>
    <w:rsid w:val="00C9516B"/>
    <w:rsid w:val="00CA184A"/>
    <w:rsid w:val="00CC39C8"/>
    <w:rsid w:val="00CC64FF"/>
    <w:rsid w:val="00CE245E"/>
    <w:rsid w:val="00D007B9"/>
    <w:rsid w:val="00D1312D"/>
    <w:rsid w:val="00D3244E"/>
    <w:rsid w:val="00D370F2"/>
    <w:rsid w:val="00D37821"/>
    <w:rsid w:val="00D516D7"/>
    <w:rsid w:val="00D60A61"/>
    <w:rsid w:val="00D61AC4"/>
    <w:rsid w:val="00D62B6E"/>
    <w:rsid w:val="00D67E9A"/>
    <w:rsid w:val="00D76659"/>
    <w:rsid w:val="00D828DF"/>
    <w:rsid w:val="00DA355D"/>
    <w:rsid w:val="00DA50D6"/>
    <w:rsid w:val="00DB1459"/>
    <w:rsid w:val="00DB54A4"/>
    <w:rsid w:val="00DB7F41"/>
    <w:rsid w:val="00DC356C"/>
    <w:rsid w:val="00DC3D74"/>
    <w:rsid w:val="00DC44FF"/>
    <w:rsid w:val="00DE22E2"/>
    <w:rsid w:val="00DE5DB8"/>
    <w:rsid w:val="00DF334A"/>
    <w:rsid w:val="00DF7C32"/>
    <w:rsid w:val="00E13509"/>
    <w:rsid w:val="00E201D7"/>
    <w:rsid w:val="00E36807"/>
    <w:rsid w:val="00E430A2"/>
    <w:rsid w:val="00E46099"/>
    <w:rsid w:val="00E530FF"/>
    <w:rsid w:val="00E60C52"/>
    <w:rsid w:val="00E712EA"/>
    <w:rsid w:val="00E91EC8"/>
    <w:rsid w:val="00EA5659"/>
    <w:rsid w:val="00EA5B3B"/>
    <w:rsid w:val="00EB27A1"/>
    <w:rsid w:val="00EC2DBE"/>
    <w:rsid w:val="00EE1791"/>
    <w:rsid w:val="00F074CE"/>
    <w:rsid w:val="00F07E89"/>
    <w:rsid w:val="00F20993"/>
    <w:rsid w:val="00F31549"/>
    <w:rsid w:val="00F33D07"/>
    <w:rsid w:val="00F362F0"/>
    <w:rsid w:val="00F50994"/>
    <w:rsid w:val="00F51F23"/>
    <w:rsid w:val="00F527AE"/>
    <w:rsid w:val="00F546CA"/>
    <w:rsid w:val="00F57D06"/>
    <w:rsid w:val="00F6106A"/>
    <w:rsid w:val="00F66EBD"/>
    <w:rsid w:val="00F74AD4"/>
    <w:rsid w:val="00F93F71"/>
    <w:rsid w:val="00F9517F"/>
    <w:rsid w:val="00FA13A8"/>
    <w:rsid w:val="00FA17D0"/>
    <w:rsid w:val="00FB4CB1"/>
    <w:rsid w:val="00FD1E77"/>
    <w:rsid w:val="00FE11A5"/>
    <w:rsid w:val="00FE7897"/>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6E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A2C"/>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3"/>
    <w:qFormat/>
    <w:rsid w:val="008B3C98"/>
    <w:pPr>
      <w:keepNext/>
      <w:keepLines/>
      <w:tabs>
        <w:tab w:val="left" w:pos="6766"/>
      </w:tab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Normal"/>
    <w:next w:val="Normal"/>
    <w:link w:val="Heading2Char"/>
    <w:uiPriority w:val="9"/>
    <w:unhideWhenUsed/>
    <w:qFormat/>
    <w:rsid w:val="00765A2C"/>
    <w:pPr>
      <w:keepNext/>
      <w:spacing w:before="240" w:after="120"/>
      <w:outlineLvl w:val="1"/>
    </w:pPr>
    <w:rPr>
      <w:noProof/>
      <w:color w:val="001A70" w:themeColor="text2"/>
      <w:sz w:val="28"/>
    </w:rPr>
  </w:style>
  <w:style w:type="paragraph" w:styleId="Heading3">
    <w:name w:val="heading 3"/>
    <w:basedOn w:val="Normal"/>
    <w:next w:val="Normal"/>
    <w:link w:val="Heading3Char"/>
    <w:uiPriority w:val="9"/>
    <w:unhideWhenUsed/>
    <w:qFormat/>
    <w:rsid w:val="00765A2C"/>
    <w:pPr>
      <w:keepNext/>
      <w:spacing w:before="240" w:after="120"/>
      <w:outlineLvl w:val="2"/>
    </w:pPr>
    <w:rPr>
      <w:b/>
      <w:i/>
      <w:noProof/>
      <w:color w:val="001A70"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E3F35"/>
    <w:rPr>
      <w:rFonts w:asciiTheme="majorHAnsi" w:eastAsiaTheme="majorEastAsia" w:hAnsiTheme="majorHAnsi" w:cstheme="majorBidi"/>
      <w:color w:val="001A70" w:themeColor="text2"/>
      <w:sz w:val="52"/>
      <w:szCs w:val="40"/>
    </w:rPr>
  </w:style>
  <w:style w:type="paragraph" w:styleId="ListParagraph">
    <w:name w:val="List Paragraph"/>
    <w:basedOn w:val="Normal"/>
    <w:uiPriority w:val="34"/>
    <w:qFormat/>
    <w:rsid w:val="00DE5DB8"/>
    <w:pPr>
      <w:numPr>
        <w:numId w:val="1"/>
      </w:numPr>
      <w:spacing w:after="60"/>
    </w:pPr>
  </w:style>
  <w:style w:type="character" w:customStyle="1" w:styleId="Heading2Char">
    <w:name w:val="Heading 2 Char"/>
    <w:basedOn w:val="DefaultParagraphFont"/>
    <w:link w:val="Heading2"/>
    <w:uiPriority w:val="9"/>
    <w:rsid w:val="008B3C98"/>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CE245E"/>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CE245E"/>
    <w:rPr>
      <w:rFonts w:ascii="Arial" w:eastAsiaTheme="minorEastAsia" w:hAnsi="Arial"/>
      <w:color w:val="001A70" w:themeColor="text2"/>
      <w:sz w:val="16"/>
      <w:szCs w:val="21"/>
    </w:rPr>
  </w:style>
  <w:style w:type="paragraph" w:styleId="Title">
    <w:name w:val="Title"/>
    <w:basedOn w:val="Normal"/>
    <w:next w:val="Normal"/>
    <w:link w:val="TitleChar"/>
    <w:autoRedefine/>
    <w:rsid w:val="00C812D8"/>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C812D8"/>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customStyle="1" w:styleId="Heading3Char">
    <w:name w:val="Heading 3 Char"/>
    <w:basedOn w:val="DefaultParagraphFont"/>
    <w:link w:val="Heading3"/>
    <w:uiPriority w:val="9"/>
    <w:rsid w:val="00A44A12"/>
    <w:rPr>
      <w:rFonts w:ascii="Arial" w:eastAsiaTheme="minorEastAsia" w:hAnsi="Arial"/>
      <w:b/>
      <w:i/>
      <w:noProof/>
      <w:color w:val="001A70" w:themeColor="text2"/>
      <w:szCs w:val="21"/>
    </w:rPr>
  </w:style>
  <w:style w:type="character" w:styleId="Hyperlink">
    <w:name w:val="Hyperlink"/>
    <w:basedOn w:val="DefaultParagraphFont"/>
    <w:uiPriority w:val="99"/>
    <w:unhideWhenUsed/>
    <w:rsid w:val="00B83C75"/>
    <w:rPr>
      <w:color w:val="7D2248" w:themeColor="hyperlink"/>
      <w:u w:val="single"/>
    </w:rPr>
  </w:style>
  <w:style w:type="character" w:customStyle="1" w:styleId="UnresolvedMention1">
    <w:name w:val="Unresolved Mention1"/>
    <w:basedOn w:val="DefaultParagraphFont"/>
    <w:uiPriority w:val="99"/>
    <w:semiHidden/>
    <w:unhideWhenUsed/>
    <w:rsid w:val="00215118"/>
    <w:rPr>
      <w:color w:val="808080"/>
      <w:shd w:val="clear" w:color="auto" w:fill="E6E6E6"/>
    </w:rPr>
  </w:style>
  <w:style w:type="character" w:styleId="FollowedHyperlink">
    <w:name w:val="FollowedHyperlink"/>
    <w:basedOn w:val="DefaultParagraphFont"/>
    <w:uiPriority w:val="99"/>
    <w:semiHidden/>
    <w:unhideWhenUsed/>
    <w:rsid w:val="00215118"/>
    <w:rPr>
      <w:color w:val="5F259F" w:themeColor="followedHyperlink"/>
      <w:u w:val="single"/>
    </w:rPr>
  </w:style>
  <w:style w:type="paragraph" w:customStyle="1" w:styleId="Disclaimer">
    <w:name w:val="Disclaimer"/>
    <w:basedOn w:val="Normal"/>
    <w:uiPriority w:val="10"/>
    <w:qFormat/>
    <w:rsid w:val="004E3F35"/>
    <w:pPr>
      <w:ind w:left="567" w:right="1394"/>
    </w:pPr>
    <w:rPr>
      <w:i/>
      <w:sz w:val="16"/>
      <w:szCs w:val="16"/>
    </w:rPr>
  </w:style>
  <w:style w:type="paragraph" w:styleId="NormalWeb">
    <w:name w:val="Normal (Web)"/>
    <w:basedOn w:val="Normal"/>
    <w:uiPriority w:val="99"/>
    <w:semiHidden/>
    <w:unhideWhenUsed/>
    <w:rsid w:val="00823C9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AmendedItemNumber">
    <w:name w:val="Amend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DeletedItemNumber">
    <w:name w:val="Delet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NEWItemNumber">
    <w:name w:val="NEW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table" w:styleId="TableGrid">
    <w:name w:val="Table Grid"/>
    <w:basedOn w:val="TableNormal"/>
    <w:uiPriority w:val="39"/>
    <w:rsid w:val="00D3782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724534">
      <w:bodyDiv w:val="1"/>
      <w:marLeft w:val="0"/>
      <w:marRight w:val="0"/>
      <w:marTop w:val="0"/>
      <w:marBottom w:val="0"/>
      <w:divBdr>
        <w:top w:val="none" w:sz="0" w:space="0" w:color="auto"/>
        <w:left w:val="none" w:sz="0" w:space="0" w:color="auto"/>
        <w:bottom w:val="none" w:sz="0" w:space="0" w:color="auto"/>
        <w:right w:val="none" w:sz="0" w:space="0" w:color="auto"/>
      </w:divBdr>
    </w:div>
    <w:div w:id="858544372">
      <w:bodyDiv w:val="1"/>
      <w:marLeft w:val="0"/>
      <w:marRight w:val="0"/>
      <w:marTop w:val="0"/>
      <w:marBottom w:val="0"/>
      <w:divBdr>
        <w:top w:val="none" w:sz="0" w:space="0" w:color="auto"/>
        <w:left w:val="none" w:sz="0" w:space="0" w:color="auto"/>
        <w:bottom w:val="none" w:sz="0" w:space="0" w:color="auto"/>
        <w:right w:val="none" w:sz="0" w:space="0" w:color="auto"/>
      </w:divBdr>
    </w:div>
    <w:div w:id="1337269632">
      <w:bodyDiv w:val="1"/>
      <w:marLeft w:val="0"/>
      <w:marRight w:val="0"/>
      <w:marTop w:val="0"/>
      <w:marBottom w:val="0"/>
      <w:divBdr>
        <w:top w:val="none" w:sz="0" w:space="0" w:color="auto"/>
        <w:left w:val="none" w:sz="0" w:space="0" w:color="auto"/>
        <w:bottom w:val="none" w:sz="0" w:space="0" w:color="auto"/>
        <w:right w:val="none" w:sz="0" w:space="0" w:color="auto"/>
      </w:divBdr>
    </w:div>
    <w:div w:id="14559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au/resources/collections/coronavirus-covid-19-national-health-plan-resour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bsonline.gov.au/internet/mbsonline/publishing.nsf/Content/Factsheet-TempBB" TargetMode="External"/><Relationship Id="rId17" Type="http://schemas.openxmlformats.org/officeDocument/2006/relationships/hyperlink" Target="https://www.humanservices.gov.au/organisations/health-professionals/news/all" TargetMode="External"/><Relationship Id="rId2" Type="http://schemas.openxmlformats.org/officeDocument/2006/relationships/customXml" Target="../customXml/item2.xml"/><Relationship Id="rId16" Type="http://schemas.openxmlformats.org/officeDocument/2006/relationships/hyperlink" Target="mailto:askMBS@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bsonline.gov.au" TargetMode="External"/><Relationship Id="rId5" Type="http://schemas.openxmlformats.org/officeDocument/2006/relationships/styles" Target="styles.xml"/><Relationship Id="rId15" Type="http://schemas.openxmlformats.org/officeDocument/2006/relationships/hyperlink" Target="http://www.mbsonline.gov.au/" TargetMode="External"/><Relationship Id="rId10" Type="http://schemas.openxmlformats.org/officeDocument/2006/relationships/hyperlink" Target="http://www.mbsonline.gov.au/internet/mbsonline/publishing.nsf/Content/Factsheet-TempBB"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Props1.xml><?xml version="1.0" encoding="utf-8"?>
<ds:datastoreItem xmlns:ds="http://schemas.openxmlformats.org/officeDocument/2006/customXml" ds:itemID="{653AE349-D759-4F83-9A38-9F58C30B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6C793-56E7-47E2-9F63-F8873EAA4CCE}">
  <ds:schemaRefs>
    <ds:schemaRef ds:uri="http://schemas.microsoft.com/sharepoint/v3/contenttype/forms"/>
  </ds:schemaRefs>
</ds:datastoreItem>
</file>

<file path=customXml/itemProps3.xml><?xml version="1.0" encoding="utf-8"?>
<ds:datastoreItem xmlns:ds="http://schemas.openxmlformats.org/officeDocument/2006/customXml" ds:itemID="{8F9E76AE-7ADE-40CC-888F-082E248A3B76}">
  <ds:schemaRefs>
    <ds:schemaRef ds:uri="http://schemas.microsoft.com/office/2006/metadata/properties"/>
    <ds:schemaRef ds:uri="http://schemas.microsoft.com/office/infopath/2007/PartnerControls"/>
    <ds:schemaRef ds:uri="81348d9c-1cc5-4b3b-8e15-6dd12d470b88"/>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2020-05-01T04:23:00Z</dcterms:created>
  <dcterms:modified xsi:type="dcterms:W3CDTF">2020-05-01T04:23:00Z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dience1">
    <vt:lpwstr/>
  </property>
  <property fmtid="{D5CDD505-2E9C-101B-9397-08002B2CF9AE}" pid="5" name="OutputType">
    <vt:lpwstr/>
  </property>
  <property fmtid="{D5CDD505-2E9C-101B-9397-08002B2CF9AE}" pid="6" name="AuthorIds_UIVersion_3">
    <vt:lpwstr>380</vt:lpwstr>
  </property>
  <property fmtid="{D5CDD505-2E9C-101B-9397-08002B2CF9AE}" pid="7" name="ContentTypeId">
    <vt:lpwstr>0x01010081989C2BD4E57C4CBCC679DFC77B692A0097F4490F998C2F43AD8BB2389CDC5E22</vt:lpwstr>
  </property>
  <property fmtid="{D5CDD505-2E9C-101B-9397-08002B2CF9AE}" pid="8" name="AuthorIds_UIVersion_1">
    <vt:lpwstr>380</vt:lpwstr>
  </property>
  <property fmtid="{D5CDD505-2E9C-101B-9397-08002B2CF9AE}" pid="9" name="MedicalTopic">
    <vt:lpwstr/>
  </property>
  <property fmtid="{D5CDD505-2E9C-101B-9397-08002B2CF9AE}" pid="10" name="fa6c1b8b0cc2431d9705c8a16216ef94">
    <vt:lpwstr/>
  </property>
  <property fmtid="{D5CDD505-2E9C-101B-9397-08002B2CF9AE}" pid="11" name="ae87646631494269b32b7096ed1c6c63">
    <vt:lpwstr/>
  </property>
</Properties>
</file>